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C4" w:rsidRDefault="005842C4" w:rsidP="005842C4">
      <w:pPr>
        <w:jc w:val="both"/>
        <w:rPr>
          <w:rFonts w:cstheme="minorHAnsi"/>
        </w:rPr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</w:t>
      </w:r>
      <w:r w:rsidRPr="006A0398">
        <w:rPr>
          <w:rFonts w:cstheme="minorHAnsi"/>
        </w:rPr>
        <w:t>"CONTRATACIÓN DE LA PÓLIZA DEL SEGURO INSTITUCIONAL DE VIDA O INVALIDEZ TOTAL Y PERMANENTE QUE HABILITA AL SEGURO DE SEPARACIÓN INDIVIDUALIZADO"</w:t>
      </w:r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5842C4" w:rsidRDefault="005842C4" w:rsidP="005842C4"/>
    <w:p w:rsidR="007728BB" w:rsidRDefault="007728BB">
      <w:bookmarkStart w:id="0" w:name="_GoBack"/>
      <w:bookmarkEnd w:id="0"/>
    </w:p>
    <w:sectPr w:rsidR="007728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C4"/>
    <w:rsid w:val="005842C4"/>
    <w:rsid w:val="007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2019-11-29T00:27:00Z</dcterms:created>
  <dcterms:modified xsi:type="dcterms:W3CDTF">2019-11-29T00:28:00Z</dcterms:modified>
</cp:coreProperties>
</file>