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4E5" w:rsidRDefault="00A474E5" w:rsidP="00A474E5">
      <w:pPr>
        <w:spacing w:after="0" w:line="240" w:lineRule="auto"/>
        <w:contextualSpacing/>
        <w:textAlignment w:val="center"/>
      </w:pPr>
      <w:bookmarkStart w:id="0" w:name="_GoBack"/>
      <w:bookmarkEnd w:id="0"/>
    </w:p>
    <w:p w:rsidR="00557294" w:rsidRDefault="00557294" w:rsidP="00C82A93">
      <w:pPr>
        <w:pStyle w:val="NormalWeb"/>
        <w:shd w:val="clear" w:color="auto" w:fill="FFFFFF"/>
        <w:spacing w:before="0" w:beforeAutospacing="0" w:after="0" w:afterAutospacing="0"/>
        <w:ind w:left="1560" w:right="1382" w:hanging="284"/>
        <w:jc w:val="both"/>
      </w:pPr>
    </w:p>
    <w:p w:rsidR="00557294" w:rsidRPr="00A474E5" w:rsidRDefault="00557294" w:rsidP="00557294">
      <w:pPr>
        <w:pStyle w:val="NormalWeb"/>
        <w:shd w:val="clear" w:color="auto" w:fill="FFFFFF"/>
        <w:spacing w:before="0" w:beforeAutospacing="0" w:after="0" w:afterAutospacing="0"/>
        <w:ind w:left="1560" w:right="1382" w:hanging="284"/>
        <w:jc w:val="center"/>
        <w:rPr>
          <w:rFonts w:ascii="Gotham Book" w:hAnsi="Gotham Book" w:cs="Arial"/>
          <w:b/>
          <w:color w:val="000000"/>
          <w:kern w:val="24"/>
          <w:lang w:val="es-ES"/>
        </w:rPr>
      </w:pPr>
      <w:r w:rsidRPr="00A474E5">
        <w:rPr>
          <w:rFonts w:ascii="Gotham Book" w:hAnsi="Gotham Book" w:cs="Arial"/>
          <w:b/>
          <w:color w:val="000000"/>
          <w:kern w:val="24"/>
          <w:lang w:val="es-ES"/>
        </w:rPr>
        <w:t>Programa Nacional de Inglés (PRONI)</w:t>
      </w:r>
    </w:p>
    <w:p w:rsidR="00557294" w:rsidRPr="00A474E5" w:rsidRDefault="00557294" w:rsidP="00557294">
      <w:pPr>
        <w:pStyle w:val="NormalWeb"/>
        <w:shd w:val="clear" w:color="auto" w:fill="FFFFFF"/>
        <w:spacing w:before="0" w:beforeAutospacing="0" w:after="0" w:afterAutospacing="0"/>
        <w:ind w:left="1560" w:right="1382" w:hanging="284"/>
        <w:jc w:val="center"/>
        <w:rPr>
          <w:rFonts w:ascii="Gotham Book" w:hAnsi="Gotham Book" w:cs="Arial"/>
          <w:b/>
          <w:color w:val="000000"/>
          <w:kern w:val="24"/>
          <w:lang w:val="es-ES"/>
        </w:rPr>
      </w:pPr>
    </w:p>
    <w:p w:rsidR="00557294" w:rsidRPr="00A474E5" w:rsidRDefault="00557294" w:rsidP="00557294">
      <w:pPr>
        <w:pStyle w:val="NormalWeb"/>
        <w:shd w:val="clear" w:color="auto" w:fill="FFFFFF"/>
        <w:spacing w:before="0" w:beforeAutospacing="0" w:after="0" w:afterAutospacing="0"/>
        <w:ind w:left="1560" w:right="1382" w:hanging="284"/>
        <w:jc w:val="center"/>
        <w:rPr>
          <w:rFonts w:ascii="Gotham Book" w:hAnsi="Gotham Book" w:cs="Arial"/>
          <w:b/>
          <w:color w:val="000000"/>
          <w:kern w:val="24"/>
          <w:lang w:val="es-ES"/>
        </w:rPr>
      </w:pPr>
    </w:p>
    <w:p w:rsidR="00557294" w:rsidRPr="00A474E5" w:rsidRDefault="00557294" w:rsidP="00557294">
      <w:pPr>
        <w:spacing w:after="0" w:line="240" w:lineRule="auto"/>
        <w:ind w:left="709" w:right="532"/>
        <w:contextualSpacing/>
        <w:jc w:val="both"/>
        <w:textAlignment w:val="center"/>
        <w:rPr>
          <w:rFonts w:ascii="Gotham Book" w:eastAsia="Times New Roman" w:hAnsi="Gotham Book"/>
          <w:sz w:val="24"/>
          <w:szCs w:val="24"/>
        </w:rPr>
      </w:pPr>
      <w:r w:rsidRPr="00A474E5">
        <w:rPr>
          <w:rFonts w:ascii="Gotham Book" w:eastAsia="Times New Roman" w:hAnsi="Gotham Book"/>
          <w:sz w:val="24"/>
          <w:szCs w:val="24"/>
        </w:rPr>
        <w:t xml:space="preserve">El Programa Nacional de Inglés (PRONI), es establecido por la Secretaría de Educación Pública desde el año 2009, denominándole Programa Nacional de Inglés en Educación Básica (PNIEB). Los recursos que la misma SEP ha otorgado a la entidad son utilizados con el propósito de formar a los docentes de Educación Básica </w:t>
      </w:r>
      <w:r w:rsidRPr="00A474E5">
        <w:rPr>
          <w:rFonts w:ascii="Gotham Book" w:hAnsi="Gotham Book"/>
          <w:sz w:val="24"/>
          <w:szCs w:val="24"/>
        </w:rPr>
        <w:t xml:space="preserve">en la metodología de la enseñanza del idioma inglés y el perfeccionamiento del mismo a través de maestrías, cursos, talleres y congresos impartidos por instituciones de corte nacional e internacional. Dicho recurso es usado de manera general para la capacitación de los docentes </w:t>
      </w:r>
      <w:r w:rsidRPr="00A474E5">
        <w:rPr>
          <w:rFonts w:ascii="Gotham Book" w:eastAsia="Times New Roman" w:hAnsi="Gotham Book"/>
          <w:sz w:val="24"/>
          <w:szCs w:val="24"/>
        </w:rPr>
        <w:t>de Educación Básica</w:t>
      </w:r>
      <w:r w:rsidRPr="00A474E5">
        <w:rPr>
          <w:rFonts w:ascii="Gotham Book" w:hAnsi="Gotham Book"/>
          <w:sz w:val="24"/>
          <w:szCs w:val="24"/>
        </w:rPr>
        <w:t xml:space="preserve"> teniendo como referencia el Programa Anual de Trabajo (PAT) y </w:t>
      </w:r>
      <w:r w:rsidR="00A474E5" w:rsidRPr="00A474E5">
        <w:rPr>
          <w:rFonts w:ascii="Gotham Book" w:hAnsi="Gotham Book"/>
          <w:sz w:val="24"/>
          <w:szCs w:val="24"/>
        </w:rPr>
        <w:t>a quienes imparten el idioma inglés en los niveles de preescolar, primaria y secundaria.</w:t>
      </w:r>
    </w:p>
    <w:p w:rsidR="00557294" w:rsidRDefault="00557294" w:rsidP="00557294">
      <w:pPr>
        <w:spacing w:after="0" w:line="240" w:lineRule="auto"/>
        <w:ind w:left="709" w:right="532"/>
        <w:contextualSpacing/>
        <w:jc w:val="both"/>
        <w:textAlignment w:val="center"/>
        <w:rPr>
          <w:rFonts w:ascii="Arial" w:eastAsia="Times New Roman" w:hAnsi="Arial"/>
          <w:sz w:val="24"/>
          <w:szCs w:val="24"/>
        </w:rPr>
      </w:pPr>
    </w:p>
    <w:tbl>
      <w:tblPr>
        <w:tblStyle w:val="Sombreadoclaro"/>
        <w:tblW w:w="0" w:type="auto"/>
        <w:jc w:val="center"/>
        <w:tblLook w:val="04A0" w:firstRow="1" w:lastRow="0" w:firstColumn="1" w:lastColumn="0" w:noHBand="0" w:noVBand="1"/>
      </w:tblPr>
      <w:tblGrid>
        <w:gridCol w:w="2007"/>
        <w:gridCol w:w="1850"/>
        <w:gridCol w:w="1688"/>
        <w:gridCol w:w="2191"/>
      </w:tblGrid>
      <w:tr w:rsidR="00557294" w:rsidRPr="00837B15" w:rsidTr="00A474E5">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Pr>
                <w:rFonts w:ascii="Arial" w:hAnsi="Arial"/>
              </w:rPr>
              <w:br w:type="page"/>
            </w:r>
            <w:r w:rsidRPr="00837B15">
              <w:rPr>
                <w:rFonts w:ascii="Arial" w:hAnsi="Arial" w:cs="Arial"/>
              </w:rPr>
              <w:t>Año</w:t>
            </w:r>
          </w:p>
        </w:tc>
        <w:tc>
          <w:tcPr>
            <w:tcW w:w="1850" w:type="dxa"/>
          </w:tcPr>
          <w:p w:rsidR="00557294" w:rsidRPr="00837B15" w:rsidRDefault="00557294" w:rsidP="00EF6FF9">
            <w:pPr>
              <w:pStyle w:val="Sinespaciad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Escuelas</w:t>
            </w:r>
          </w:p>
        </w:tc>
        <w:tc>
          <w:tcPr>
            <w:tcW w:w="1688" w:type="dxa"/>
          </w:tcPr>
          <w:p w:rsidR="00557294" w:rsidRPr="00837B15" w:rsidRDefault="00557294" w:rsidP="00EF6FF9">
            <w:pPr>
              <w:pStyle w:val="Sinespaciad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Alumnos beneficiados</w:t>
            </w:r>
          </w:p>
        </w:tc>
        <w:tc>
          <w:tcPr>
            <w:tcW w:w="2191" w:type="dxa"/>
          </w:tcPr>
          <w:p w:rsidR="00557294" w:rsidRPr="00837B15" w:rsidRDefault="00557294" w:rsidP="00EF6FF9">
            <w:pPr>
              <w:pStyle w:val="Sinespaciad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Inversión</w:t>
            </w:r>
          </w:p>
        </w:tc>
      </w:tr>
      <w:tr w:rsidR="00557294" w:rsidRPr="00837B15" w:rsidTr="00A474E5">
        <w:trPr>
          <w:cnfStyle w:val="000000100000" w:firstRow="0" w:lastRow="0" w:firstColumn="0" w:lastColumn="0" w:oddVBand="0" w:evenVBand="0" w:oddHBand="1" w:evenHBand="0" w:firstRowFirstColumn="0" w:firstRowLastColumn="0" w:lastRowFirstColumn="0" w:lastRowLastColumn="0"/>
          <w:trHeight w:val="391"/>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sidRPr="00837B15">
              <w:rPr>
                <w:rFonts w:ascii="Arial" w:hAnsi="Arial" w:cs="Arial"/>
              </w:rPr>
              <w:t>2011</w:t>
            </w:r>
          </w:p>
        </w:tc>
        <w:tc>
          <w:tcPr>
            <w:tcW w:w="1850"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652</w:t>
            </w:r>
          </w:p>
        </w:tc>
        <w:tc>
          <w:tcPr>
            <w:tcW w:w="1688"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202,290</w:t>
            </w:r>
          </w:p>
        </w:tc>
        <w:tc>
          <w:tcPr>
            <w:tcW w:w="2191"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16’410,516</w:t>
            </w:r>
            <w:r>
              <w:rPr>
                <w:rFonts w:ascii="Arial" w:hAnsi="Arial" w:cs="Arial"/>
              </w:rPr>
              <w:t>.00</w:t>
            </w:r>
          </w:p>
        </w:tc>
      </w:tr>
      <w:tr w:rsidR="00557294" w:rsidRPr="00837B15" w:rsidTr="00A474E5">
        <w:trPr>
          <w:trHeight w:val="391"/>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sidRPr="00837B15">
              <w:rPr>
                <w:rFonts w:ascii="Arial" w:hAnsi="Arial" w:cs="Arial"/>
              </w:rPr>
              <w:t>2012</w:t>
            </w:r>
          </w:p>
        </w:tc>
        <w:tc>
          <w:tcPr>
            <w:tcW w:w="1850"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2,065</w:t>
            </w:r>
          </w:p>
        </w:tc>
        <w:tc>
          <w:tcPr>
            <w:tcW w:w="1688"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623,482</w:t>
            </w:r>
          </w:p>
        </w:tc>
        <w:tc>
          <w:tcPr>
            <w:tcW w:w="2191"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31’410,516</w:t>
            </w:r>
            <w:r>
              <w:rPr>
                <w:rFonts w:ascii="Arial" w:hAnsi="Arial" w:cs="Arial"/>
              </w:rPr>
              <w:t>.00</w:t>
            </w:r>
          </w:p>
        </w:tc>
      </w:tr>
      <w:tr w:rsidR="00557294" w:rsidRPr="00837B15" w:rsidTr="00A474E5">
        <w:trPr>
          <w:cnfStyle w:val="000000100000" w:firstRow="0" w:lastRow="0" w:firstColumn="0" w:lastColumn="0" w:oddVBand="0" w:evenVBand="0" w:oddHBand="1" w:evenHBand="0" w:firstRowFirstColumn="0" w:firstRowLastColumn="0" w:lastRowFirstColumn="0" w:lastRowLastColumn="0"/>
          <w:trHeight w:val="391"/>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sidRPr="00837B15">
              <w:rPr>
                <w:rFonts w:ascii="Arial" w:hAnsi="Arial" w:cs="Arial"/>
              </w:rPr>
              <w:t>2013</w:t>
            </w:r>
          </w:p>
        </w:tc>
        <w:tc>
          <w:tcPr>
            <w:tcW w:w="1850"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1,960</w:t>
            </w:r>
          </w:p>
        </w:tc>
        <w:tc>
          <w:tcPr>
            <w:tcW w:w="1688"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555,762</w:t>
            </w:r>
          </w:p>
        </w:tc>
        <w:tc>
          <w:tcPr>
            <w:tcW w:w="2191"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33’131,629</w:t>
            </w:r>
            <w:r>
              <w:rPr>
                <w:rFonts w:ascii="Arial" w:hAnsi="Arial" w:cs="Arial"/>
              </w:rPr>
              <w:t>.00</w:t>
            </w:r>
          </w:p>
        </w:tc>
      </w:tr>
      <w:tr w:rsidR="00557294" w:rsidRPr="00837B15" w:rsidTr="00A474E5">
        <w:trPr>
          <w:trHeight w:val="567"/>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sidRPr="00837B15">
              <w:rPr>
                <w:rFonts w:ascii="Arial" w:hAnsi="Arial" w:cs="Arial"/>
              </w:rPr>
              <w:t>2014</w:t>
            </w:r>
          </w:p>
        </w:tc>
        <w:tc>
          <w:tcPr>
            <w:tcW w:w="1850"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2,434</w:t>
            </w:r>
          </w:p>
        </w:tc>
        <w:tc>
          <w:tcPr>
            <w:tcW w:w="1688"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606,087</w:t>
            </w:r>
          </w:p>
        </w:tc>
        <w:tc>
          <w:tcPr>
            <w:tcW w:w="2191"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20’957,005</w:t>
            </w:r>
            <w:r>
              <w:rPr>
                <w:rFonts w:ascii="Arial" w:hAnsi="Arial" w:cs="Arial"/>
              </w:rPr>
              <w:t>.06</w:t>
            </w:r>
          </w:p>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 Adenda</w:t>
            </w:r>
          </w:p>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31’475,015</w:t>
            </w:r>
          </w:p>
        </w:tc>
      </w:tr>
      <w:tr w:rsidR="00557294" w:rsidRPr="00837B15" w:rsidTr="00A474E5">
        <w:trPr>
          <w:cnfStyle w:val="000000100000" w:firstRow="0" w:lastRow="0" w:firstColumn="0" w:lastColumn="0" w:oddVBand="0" w:evenVBand="0" w:oddHBand="1" w:evenHBand="0" w:firstRowFirstColumn="0" w:firstRowLastColumn="0" w:lastRowFirstColumn="0" w:lastRowLastColumn="0"/>
          <w:trHeight w:val="365"/>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sidRPr="00837B15">
              <w:rPr>
                <w:rFonts w:ascii="Arial" w:hAnsi="Arial" w:cs="Arial"/>
              </w:rPr>
              <w:t>2015</w:t>
            </w:r>
          </w:p>
        </w:tc>
        <w:tc>
          <w:tcPr>
            <w:tcW w:w="1850"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4,894</w:t>
            </w:r>
          </w:p>
        </w:tc>
        <w:tc>
          <w:tcPr>
            <w:tcW w:w="1688"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997,137</w:t>
            </w:r>
          </w:p>
        </w:tc>
        <w:tc>
          <w:tcPr>
            <w:tcW w:w="2191"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837B15">
              <w:rPr>
                <w:rFonts w:ascii="Arial" w:hAnsi="Arial" w:cs="Arial"/>
              </w:rPr>
              <w:t>25’553,404</w:t>
            </w:r>
            <w:r>
              <w:rPr>
                <w:rFonts w:ascii="Arial" w:hAnsi="Arial" w:cs="Arial"/>
              </w:rPr>
              <w:t>.38</w:t>
            </w:r>
          </w:p>
        </w:tc>
      </w:tr>
      <w:tr w:rsidR="00557294" w:rsidRPr="00837B15" w:rsidTr="00A474E5">
        <w:trPr>
          <w:trHeight w:val="365"/>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sidRPr="00837B15">
              <w:rPr>
                <w:rFonts w:ascii="Arial" w:hAnsi="Arial" w:cs="Arial"/>
              </w:rPr>
              <w:t>2016</w:t>
            </w:r>
          </w:p>
        </w:tc>
        <w:tc>
          <w:tcPr>
            <w:tcW w:w="1850"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5,631</w:t>
            </w:r>
          </w:p>
        </w:tc>
        <w:tc>
          <w:tcPr>
            <w:tcW w:w="1688"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1’064,728</w:t>
            </w:r>
          </w:p>
        </w:tc>
        <w:tc>
          <w:tcPr>
            <w:tcW w:w="2191" w:type="dxa"/>
          </w:tcPr>
          <w:p w:rsidR="00557294" w:rsidRPr="00837B15" w:rsidRDefault="00557294" w:rsidP="00EF6FF9">
            <w:pPr>
              <w:pStyle w:val="Sinespaciad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37B15">
              <w:rPr>
                <w:rFonts w:ascii="Arial" w:hAnsi="Arial" w:cs="Arial"/>
              </w:rPr>
              <w:t>45’925,284</w:t>
            </w:r>
            <w:r>
              <w:rPr>
                <w:rFonts w:ascii="Arial" w:hAnsi="Arial" w:cs="Arial"/>
              </w:rPr>
              <w:t>.00</w:t>
            </w:r>
          </w:p>
        </w:tc>
      </w:tr>
      <w:tr w:rsidR="00557294" w:rsidRPr="00837B15" w:rsidTr="00A474E5">
        <w:trPr>
          <w:cnfStyle w:val="000000100000" w:firstRow="0" w:lastRow="0" w:firstColumn="0" w:lastColumn="0" w:oddVBand="0" w:evenVBand="0" w:oddHBand="1" w:evenHBand="0" w:firstRowFirstColumn="0" w:firstRowLastColumn="0" w:lastRowFirstColumn="0" w:lastRowLastColumn="0"/>
          <w:trHeight w:val="365"/>
          <w:jc w:val="center"/>
        </w:trPr>
        <w:tc>
          <w:tcPr>
            <w:cnfStyle w:val="001000000000" w:firstRow="0" w:lastRow="0" w:firstColumn="1" w:lastColumn="0" w:oddVBand="0" w:evenVBand="0" w:oddHBand="0" w:evenHBand="0" w:firstRowFirstColumn="0" w:firstRowLastColumn="0" w:lastRowFirstColumn="0" w:lastRowLastColumn="0"/>
            <w:tcW w:w="2007" w:type="dxa"/>
          </w:tcPr>
          <w:p w:rsidR="00557294" w:rsidRPr="00837B15" w:rsidRDefault="00557294" w:rsidP="00EF6FF9">
            <w:pPr>
              <w:pStyle w:val="Sinespaciado"/>
              <w:jc w:val="center"/>
              <w:rPr>
                <w:rFonts w:ascii="Arial" w:hAnsi="Arial" w:cs="Arial"/>
              </w:rPr>
            </w:pPr>
            <w:r>
              <w:rPr>
                <w:rFonts w:ascii="Arial" w:hAnsi="Arial" w:cs="Arial"/>
              </w:rPr>
              <w:t>2017</w:t>
            </w:r>
          </w:p>
        </w:tc>
        <w:tc>
          <w:tcPr>
            <w:tcW w:w="1850"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5,796</w:t>
            </w:r>
          </w:p>
        </w:tc>
        <w:tc>
          <w:tcPr>
            <w:tcW w:w="1688"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1’086,025</w:t>
            </w:r>
          </w:p>
        </w:tc>
        <w:tc>
          <w:tcPr>
            <w:tcW w:w="2191" w:type="dxa"/>
          </w:tcPr>
          <w:p w:rsidR="00557294" w:rsidRPr="00837B15" w:rsidRDefault="00557294" w:rsidP="00EF6FF9">
            <w:pPr>
              <w:pStyle w:val="Sinespaciad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33’227,507.72</w:t>
            </w:r>
          </w:p>
        </w:tc>
      </w:tr>
    </w:tbl>
    <w:p w:rsidR="00557294" w:rsidRPr="00557294" w:rsidRDefault="00557294" w:rsidP="00557294">
      <w:pPr>
        <w:pStyle w:val="NormalWeb"/>
        <w:shd w:val="clear" w:color="auto" w:fill="FFFFFF"/>
        <w:spacing w:before="0" w:beforeAutospacing="0" w:after="0" w:afterAutospacing="0"/>
        <w:ind w:left="1560" w:right="1382" w:hanging="284"/>
        <w:jc w:val="center"/>
        <w:rPr>
          <w:rFonts w:ascii="Gotham Book" w:hAnsi="Gotham Book" w:cs="Arial"/>
          <w:b/>
          <w:color w:val="000000"/>
          <w:kern w:val="24"/>
          <w:sz w:val="22"/>
          <w:szCs w:val="22"/>
          <w:lang w:val="es-ES"/>
        </w:rPr>
      </w:pPr>
    </w:p>
    <w:sectPr w:rsidR="00557294" w:rsidRPr="00557294" w:rsidSect="0014382E">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383" w:rsidRDefault="00A97383" w:rsidP="00461FBE">
      <w:pPr>
        <w:spacing w:after="0" w:line="240" w:lineRule="auto"/>
      </w:pPr>
      <w:r>
        <w:separator/>
      </w:r>
    </w:p>
  </w:endnote>
  <w:endnote w:type="continuationSeparator" w:id="0">
    <w:p w:rsidR="00A97383" w:rsidRDefault="00A97383" w:rsidP="00461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otham Book">
    <w:panose1 w:val="02000603040000020004"/>
    <w:charset w:val="00"/>
    <w:family w:val="auto"/>
    <w:pitch w:val="variable"/>
    <w:sig w:usb0="A00000AF" w:usb1="4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383" w:rsidRDefault="00A97383" w:rsidP="00461FBE">
      <w:pPr>
        <w:spacing w:after="0" w:line="240" w:lineRule="auto"/>
      </w:pPr>
      <w:r>
        <w:separator/>
      </w:r>
    </w:p>
  </w:footnote>
  <w:footnote w:type="continuationSeparator" w:id="0">
    <w:p w:rsidR="00A97383" w:rsidRDefault="00A97383" w:rsidP="00461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F25C4C"/>
    <w:multiLevelType w:val="multilevel"/>
    <w:tmpl w:val="37981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F828EC"/>
    <w:multiLevelType w:val="hybridMultilevel"/>
    <w:tmpl w:val="5992C67C"/>
    <w:lvl w:ilvl="0" w:tplc="0D18B320">
      <w:start w:val="1"/>
      <w:numFmt w:val="bullet"/>
      <w:lvlText w:val="•"/>
      <w:lvlJc w:val="left"/>
      <w:pPr>
        <w:tabs>
          <w:tab w:val="num" w:pos="720"/>
        </w:tabs>
        <w:ind w:left="720" w:hanging="360"/>
      </w:pPr>
      <w:rPr>
        <w:rFonts w:ascii="Arial" w:hAnsi="Arial" w:hint="default"/>
      </w:rPr>
    </w:lvl>
    <w:lvl w:ilvl="1" w:tplc="8AAC9178" w:tentative="1">
      <w:start w:val="1"/>
      <w:numFmt w:val="bullet"/>
      <w:lvlText w:val="•"/>
      <w:lvlJc w:val="left"/>
      <w:pPr>
        <w:tabs>
          <w:tab w:val="num" w:pos="1440"/>
        </w:tabs>
        <w:ind w:left="1440" w:hanging="360"/>
      </w:pPr>
      <w:rPr>
        <w:rFonts w:ascii="Arial" w:hAnsi="Arial" w:hint="default"/>
      </w:rPr>
    </w:lvl>
    <w:lvl w:ilvl="2" w:tplc="38B60078" w:tentative="1">
      <w:start w:val="1"/>
      <w:numFmt w:val="bullet"/>
      <w:lvlText w:val="•"/>
      <w:lvlJc w:val="left"/>
      <w:pPr>
        <w:tabs>
          <w:tab w:val="num" w:pos="2160"/>
        </w:tabs>
        <w:ind w:left="2160" w:hanging="360"/>
      </w:pPr>
      <w:rPr>
        <w:rFonts w:ascii="Arial" w:hAnsi="Arial" w:hint="default"/>
      </w:rPr>
    </w:lvl>
    <w:lvl w:ilvl="3" w:tplc="3766C2CE" w:tentative="1">
      <w:start w:val="1"/>
      <w:numFmt w:val="bullet"/>
      <w:lvlText w:val="•"/>
      <w:lvlJc w:val="left"/>
      <w:pPr>
        <w:tabs>
          <w:tab w:val="num" w:pos="2880"/>
        </w:tabs>
        <w:ind w:left="2880" w:hanging="360"/>
      </w:pPr>
      <w:rPr>
        <w:rFonts w:ascii="Arial" w:hAnsi="Arial" w:hint="default"/>
      </w:rPr>
    </w:lvl>
    <w:lvl w:ilvl="4" w:tplc="E564ABD4" w:tentative="1">
      <w:start w:val="1"/>
      <w:numFmt w:val="bullet"/>
      <w:lvlText w:val="•"/>
      <w:lvlJc w:val="left"/>
      <w:pPr>
        <w:tabs>
          <w:tab w:val="num" w:pos="3600"/>
        </w:tabs>
        <w:ind w:left="3600" w:hanging="360"/>
      </w:pPr>
      <w:rPr>
        <w:rFonts w:ascii="Arial" w:hAnsi="Arial" w:hint="default"/>
      </w:rPr>
    </w:lvl>
    <w:lvl w:ilvl="5" w:tplc="6672ADB4" w:tentative="1">
      <w:start w:val="1"/>
      <w:numFmt w:val="bullet"/>
      <w:lvlText w:val="•"/>
      <w:lvlJc w:val="left"/>
      <w:pPr>
        <w:tabs>
          <w:tab w:val="num" w:pos="4320"/>
        </w:tabs>
        <w:ind w:left="4320" w:hanging="360"/>
      </w:pPr>
      <w:rPr>
        <w:rFonts w:ascii="Arial" w:hAnsi="Arial" w:hint="default"/>
      </w:rPr>
    </w:lvl>
    <w:lvl w:ilvl="6" w:tplc="67FA78EA" w:tentative="1">
      <w:start w:val="1"/>
      <w:numFmt w:val="bullet"/>
      <w:lvlText w:val="•"/>
      <w:lvlJc w:val="left"/>
      <w:pPr>
        <w:tabs>
          <w:tab w:val="num" w:pos="5040"/>
        </w:tabs>
        <w:ind w:left="5040" w:hanging="360"/>
      </w:pPr>
      <w:rPr>
        <w:rFonts w:ascii="Arial" w:hAnsi="Arial" w:hint="default"/>
      </w:rPr>
    </w:lvl>
    <w:lvl w:ilvl="7" w:tplc="0A8CE858" w:tentative="1">
      <w:start w:val="1"/>
      <w:numFmt w:val="bullet"/>
      <w:lvlText w:val="•"/>
      <w:lvlJc w:val="left"/>
      <w:pPr>
        <w:tabs>
          <w:tab w:val="num" w:pos="5760"/>
        </w:tabs>
        <w:ind w:left="5760" w:hanging="360"/>
      </w:pPr>
      <w:rPr>
        <w:rFonts w:ascii="Arial" w:hAnsi="Arial" w:hint="default"/>
      </w:rPr>
    </w:lvl>
    <w:lvl w:ilvl="8" w:tplc="28A6BF7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82E"/>
    <w:rsid w:val="0005213C"/>
    <w:rsid w:val="00084A21"/>
    <w:rsid w:val="000D441E"/>
    <w:rsid w:val="000D6B9A"/>
    <w:rsid w:val="0014382E"/>
    <w:rsid w:val="00251BCF"/>
    <w:rsid w:val="002B36C0"/>
    <w:rsid w:val="00323E45"/>
    <w:rsid w:val="003A39CE"/>
    <w:rsid w:val="003C5CBA"/>
    <w:rsid w:val="003E42DF"/>
    <w:rsid w:val="00461FBE"/>
    <w:rsid w:val="00557294"/>
    <w:rsid w:val="00590177"/>
    <w:rsid w:val="006135C2"/>
    <w:rsid w:val="0076494C"/>
    <w:rsid w:val="00931015"/>
    <w:rsid w:val="0093770A"/>
    <w:rsid w:val="00A464FE"/>
    <w:rsid w:val="00A474E5"/>
    <w:rsid w:val="00A524AC"/>
    <w:rsid w:val="00A97383"/>
    <w:rsid w:val="00B97145"/>
    <w:rsid w:val="00BB1226"/>
    <w:rsid w:val="00C276F8"/>
    <w:rsid w:val="00C82A93"/>
    <w:rsid w:val="00CA5FA1"/>
    <w:rsid w:val="00D37535"/>
    <w:rsid w:val="00D83488"/>
    <w:rsid w:val="00F107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5823DD-43B4-4837-9AE7-D3A0E819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43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4382E"/>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14382E"/>
    <w:pPr>
      <w:spacing w:after="0" w:line="240" w:lineRule="auto"/>
      <w:ind w:left="720"/>
      <w:contextualSpacing/>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461F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1FBE"/>
  </w:style>
  <w:style w:type="paragraph" w:styleId="Piedepgina">
    <w:name w:val="footer"/>
    <w:basedOn w:val="Normal"/>
    <w:link w:val="PiedepginaCar"/>
    <w:uiPriority w:val="99"/>
    <w:unhideWhenUsed/>
    <w:rsid w:val="00461F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1FBE"/>
  </w:style>
  <w:style w:type="paragraph" w:styleId="Sinespaciado">
    <w:name w:val="No Spacing"/>
    <w:uiPriority w:val="1"/>
    <w:qFormat/>
    <w:rsid w:val="00557294"/>
    <w:pPr>
      <w:spacing w:after="0" w:line="240" w:lineRule="auto"/>
    </w:pPr>
    <w:rPr>
      <w:rFonts w:ascii="Calibri" w:eastAsia="Calibri" w:hAnsi="Calibri" w:cs="Times New Roman"/>
      <w:lang w:eastAsia="es-MX"/>
    </w:rPr>
  </w:style>
  <w:style w:type="table" w:styleId="Sombreadomedio2-nfasis5">
    <w:name w:val="Medium Shading 2 Accent 5"/>
    <w:basedOn w:val="Tablanormal"/>
    <w:uiPriority w:val="64"/>
    <w:rsid w:val="00A474E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claro">
    <w:name w:val="Light Shading"/>
    <w:basedOn w:val="Tablanormal"/>
    <w:uiPriority w:val="60"/>
    <w:rsid w:val="00A474E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
    <w:name w:val="Light List"/>
    <w:basedOn w:val="Tablanormal"/>
    <w:uiPriority w:val="61"/>
    <w:rsid w:val="00A474E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6">
    <w:name w:val="Light List Accent 6"/>
    <w:basedOn w:val="Tablanormal"/>
    <w:uiPriority w:val="61"/>
    <w:rsid w:val="00A474E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Textodeglobo">
    <w:name w:val="Balloon Text"/>
    <w:basedOn w:val="Normal"/>
    <w:link w:val="TextodegloboCar"/>
    <w:uiPriority w:val="99"/>
    <w:semiHidden/>
    <w:unhideWhenUsed/>
    <w:rsid w:val="00BB122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12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699206">
      <w:bodyDiv w:val="1"/>
      <w:marLeft w:val="0"/>
      <w:marRight w:val="0"/>
      <w:marTop w:val="0"/>
      <w:marBottom w:val="0"/>
      <w:divBdr>
        <w:top w:val="none" w:sz="0" w:space="0" w:color="auto"/>
        <w:left w:val="none" w:sz="0" w:space="0" w:color="auto"/>
        <w:bottom w:val="none" w:sz="0" w:space="0" w:color="auto"/>
        <w:right w:val="none" w:sz="0" w:space="0" w:color="auto"/>
      </w:divBdr>
      <w:divsChild>
        <w:div w:id="895238564">
          <w:marLeft w:val="446"/>
          <w:marRight w:val="0"/>
          <w:marTop w:val="0"/>
          <w:marBottom w:val="0"/>
          <w:divBdr>
            <w:top w:val="none" w:sz="0" w:space="0" w:color="auto"/>
            <w:left w:val="none" w:sz="0" w:space="0" w:color="auto"/>
            <w:bottom w:val="none" w:sz="0" w:space="0" w:color="auto"/>
            <w:right w:val="none" w:sz="0" w:space="0" w:color="auto"/>
          </w:divBdr>
        </w:div>
        <w:div w:id="509681495">
          <w:marLeft w:val="850"/>
          <w:marRight w:val="0"/>
          <w:marTop w:val="0"/>
          <w:marBottom w:val="0"/>
          <w:divBdr>
            <w:top w:val="none" w:sz="0" w:space="0" w:color="auto"/>
            <w:left w:val="none" w:sz="0" w:space="0" w:color="auto"/>
            <w:bottom w:val="none" w:sz="0" w:space="0" w:color="auto"/>
            <w:right w:val="none" w:sz="0" w:space="0" w:color="auto"/>
          </w:divBdr>
        </w:div>
        <w:div w:id="931595285">
          <w:marLeft w:val="850"/>
          <w:marRight w:val="0"/>
          <w:marTop w:val="0"/>
          <w:marBottom w:val="0"/>
          <w:divBdr>
            <w:top w:val="none" w:sz="0" w:space="0" w:color="auto"/>
            <w:left w:val="none" w:sz="0" w:space="0" w:color="auto"/>
            <w:bottom w:val="none" w:sz="0" w:space="0" w:color="auto"/>
            <w:right w:val="none" w:sz="0" w:space="0" w:color="auto"/>
          </w:divBdr>
        </w:div>
        <w:div w:id="2038043588">
          <w:marLeft w:val="850"/>
          <w:marRight w:val="0"/>
          <w:marTop w:val="0"/>
          <w:marBottom w:val="0"/>
          <w:divBdr>
            <w:top w:val="none" w:sz="0" w:space="0" w:color="auto"/>
            <w:left w:val="none" w:sz="0" w:space="0" w:color="auto"/>
            <w:bottom w:val="none" w:sz="0" w:space="0" w:color="auto"/>
            <w:right w:val="none" w:sz="0" w:space="0" w:color="auto"/>
          </w:divBdr>
        </w:div>
        <w:div w:id="1494906561">
          <w:marLeft w:val="850"/>
          <w:marRight w:val="0"/>
          <w:marTop w:val="0"/>
          <w:marBottom w:val="0"/>
          <w:divBdr>
            <w:top w:val="none" w:sz="0" w:space="0" w:color="auto"/>
            <w:left w:val="none" w:sz="0" w:space="0" w:color="auto"/>
            <w:bottom w:val="none" w:sz="0" w:space="0" w:color="auto"/>
            <w:right w:val="none" w:sz="0" w:space="0" w:color="auto"/>
          </w:divBdr>
        </w:div>
        <w:div w:id="1576353830">
          <w:marLeft w:val="850"/>
          <w:marRight w:val="0"/>
          <w:marTop w:val="0"/>
          <w:marBottom w:val="0"/>
          <w:divBdr>
            <w:top w:val="none" w:sz="0" w:space="0" w:color="auto"/>
            <w:left w:val="none" w:sz="0" w:space="0" w:color="auto"/>
            <w:bottom w:val="none" w:sz="0" w:space="0" w:color="auto"/>
            <w:right w:val="none" w:sz="0" w:space="0" w:color="auto"/>
          </w:divBdr>
        </w:div>
        <w:div w:id="1699698906">
          <w:marLeft w:val="850"/>
          <w:marRight w:val="0"/>
          <w:marTop w:val="0"/>
          <w:marBottom w:val="0"/>
          <w:divBdr>
            <w:top w:val="none" w:sz="0" w:space="0" w:color="auto"/>
            <w:left w:val="none" w:sz="0" w:space="0" w:color="auto"/>
            <w:bottom w:val="none" w:sz="0" w:space="0" w:color="auto"/>
            <w:right w:val="none" w:sz="0" w:space="0" w:color="auto"/>
          </w:divBdr>
        </w:div>
        <w:div w:id="1271084981">
          <w:marLeft w:val="850"/>
          <w:marRight w:val="0"/>
          <w:marTop w:val="0"/>
          <w:marBottom w:val="0"/>
          <w:divBdr>
            <w:top w:val="none" w:sz="0" w:space="0" w:color="auto"/>
            <w:left w:val="none" w:sz="0" w:space="0" w:color="auto"/>
            <w:bottom w:val="none" w:sz="0" w:space="0" w:color="auto"/>
            <w:right w:val="none" w:sz="0" w:space="0" w:color="auto"/>
          </w:divBdr>
        </w:div>
        <w:div w:id="572396340">
          <w:marLeft w:val="850"/>
          <w:marRight w:val="0"/>
          <w:marTop w:val="0"/>
          <w:marBottom w:val="0"/>
          <w:divBdr>
            <w:top w:val="none" w:sz="0" w:space="0" w:color="auto"/>
            <w:left w:val="none" w:sz="0" w:space="0" w:color="auto"/>
            <w:bottom w:val="none" w:sz="0" w:space="0" w:color="auto"/>
            <w:right w:val="none" w:sz="0" w:space="0" w:color="auto"/>
          </w:divBdr>
        </w:div>
      </w:divsChild>
    </w:div>
    <w:div w:id="1401168852">
      <w:bodyDiv w:val="1"/>
      <w:marLeft w:val="0"/>
      <w:marRight w:val="0"/>
      <w:marTop w:val="0"/>
      <w:marBottom w:val="0"/>
      <w:divBdr>
        <w:top w:val="none" w:sz="0" w:space="0" w:color="auto"/>
        <w:left w:val="none" w:sz="0" w:space="0" w:color="auto"/>
        <w:bottom w:val="none" w:sz="0" w:space="0" w:color="auto"/>
        <w:right w:val="none" w:sz="0" w:space="0" w:color="auto"/>
      </w:divBdr>
      <w:divsChild>
        <w:div w:id="1089428777">
          <w:marLeft w:val="0"/>
          <w:marRight w:val="0"/>
          <w:marTop w:val="0"/>
          <w:marBottom w:val="0"/>
          <w:divBdr>
            <w:top w:val="none" w:sz="0" w:space="0" w:color="auto"/>
            <w:left w:val="none" w:sz="0" w:space="0" w:color="auto"/>
            <w:bottom w:val="none" w:sz="0" w:space="0" w:color="auto"/>
            <w:right w:val="none" w:sz="0" w:space="0" w:color="auto"/>
          </w:divBdr>
        </w:div>
        <w:div w:id="221642831">
          <w:marLeft w:val="0"/>
          <w:marRight w:val="0"/>
          <w:marTop w:val="0"/>
          <w:marBottom w:val="0"/>
          <w:divBdr>
            <w:top w:val="none" w:sz="0" w:space="0" w:color="auto"/>
            <w:left w:val="none" w:sz="0" w:space="0" w:color="auto"/>
            <w:bottom w:val="none" w:sz="0" w:space="0" w:color="auto"/>
            <w:right w:val="none" w:sz="0" w:space="0" w:color="auto"/>
          </w:divBdr>
        </w:div>
        <w:div w:id="1600985877">
          <w:marLeft w:val="0"/>
          <w:marRight w:val="0"/>
          <w:marTop w:val="0"/>
          <w:marBottom w:val="0"/>
          <w:divBdr>
            <w:top w:val="none" w:sz="0" w:space="0" w:color="auto"/>
            <w:left w:val="none" w:sz="0" w:space="0" w:color="auto"/>
            <w:bottom w:val="none" w:sz="0" w:space="0" w:color="auto"/>
            <w:right w:val="none" w:sz="0" w:space="0" w:color="auto"/>
          </w:divBdr>
        </w:div>
        <w:div w:id="171530912">
          <w:marLeft w:val="0"/>
          <w:marRight w:val="0"/>
          <w:marTop w:val="0"/>
          <w:marBottom w:val="0"/>
          <w:divBdr>
            <w:top w:val="none" w:sz="0" w:space="0" w:color="auto"/>
            <w:left w:val="none" w:sz="0" w:space="0" w:color="auto"/>
            <w:bottom w:val="none" w:sz="0" w:space="0" w:color="auto"/>
            <w:right w:val="none" w:sz="0" w:space="0" w:color="auto"/>
          </w:divBdr>
        </w:div>
        <w:div w:id="1261332973">
          <w:marLeft w:val="0"/>
          <w:marRight w:val="0"/>
          <w:marTop w:val="0"/>
          <w:marBottom w:val="0"/>
          <w:divBdr>
            <w:top w:val="none" w:sz="0" w:space="0" w:color="auto"/>
            <w:left w:val="none" w:sz="0" w:space="0" w:color="auto"/>
            <w:bottom w:val="none" w:sz="0" w:space="0" w:color="auto"/>
            <w:right w:val="none" w:sz="0" w:space="0" w:color="auto"/>
          </w:divBdr>
        </w:div>
      </w:divsChild>
    </w:div>
    <w:div w:id="204520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943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dc:creator>
  <cp:lastModifiedBy>GEM2</cp:lastModifiedBy>
  <cp:revision>2</cp:revision>
  <cp:lastPrinted>2017-06-15T18:54:00Z</cp:lastPrinted>
  <dcterms:created xsi:type="dcterms:W3CDTF">2017-06-15T19:14:00Z</dcterms:created>
  <dcterms:modified xsi:type="dcterms:W3CDTF">2017-06-15T19:14:00Z</dcterms:modified>
</cp:coreProperties>
</file>