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09" w:rsidRPr="005050F2" w:rsidRDefault="00CB1109" w:rsidP="00CB1109">
      <w:pPr>
        <w:tabs>
          <w:tab w:val="center" w:pos="4985"/>
        </w:tabs>
        <w:spacing w:after="0" w:line="240" w:lineRule="auto"/>
        <w:ind w:left="2880" w:hanging="2880"/>
        <w:jc w:val="center"/>
        <w:rPr>
          <w:rFonts w:ascii="Arial Narrow" w:hAnsi="Arial Narrow"/>
          <w:b/>
          <w:bCs/>
          <w:sz w:val="24"/>
          <w:szCs w:val="24"/>
        </w:rPr>
      </w:pPr>
      <w:r w:rsidRPr="005050F2">
        <w:rPr>
          <w:rFonts w:ascii="Arial Narrow" w:hAnsi="Arial Narrow"/>
          <w:b/>
          <w:bCs/>
          <w:sz w:val="24"/>
          <w:szCs w:val="24"/>
        </w:rPr>
        <w:t>Auditorías Financieras</w:t>
      </w:r>
    </w:p>
    <w:p w:rsidR="00CB1109" w:rsidRPr="005050F2" w:rsidRDefault="00CB1109" w:rsidP="00CB1109">
      <w:pPr>
        <w:rPr>
          <w:rFonts w:ascii="Arial Narrow" w:hAnsi="Arial Narrow"/>
          <w:sz w:val="18"/>
          <w:szCs w:val="18"/>
        </w:rPr>
      </w:pPr>
    </w:p>
    <w:p w:rsidR="00CB1109" w:rsidRPr="005050F2" w:rsidRDefault="00CB1109" w:rsidP="00CB1109">
      <w:pPr>
        <w:tabs>
          <w:tab w:val="center" w:pos="4985"/>
        </w:tabs>
        <w:spacing w:after="0" w:line="240" w:lineRule="auto"/>
        <w:ind w:left="2880" w:hanging="2880"/>
        <w:jc w:val="center"/>
        <w:rPr>
          <w:rFonts w:ascii="Arial Narrow" w:hAnsi="Arial Narrow"/>
          <w:b/>
          <w:bCs/>
          <w:sz w:val="28"/>
          <w:szCs w:val="28"/>
        </w:rPr>
      </w:pPr>
      <w:r w:rsidRPr="005050F2">
        <w:rPr>
          <w:rFonts w:ascii="Arial Narrow" w:hAnsi="Arial Narrow"/>
          <w:b/>
          <w:bCs/>
          <w:sz w:val="28"/>
          <w:szCs w:val="28"/>
        </w:rPr>
        <w:t>Auditorías Financieras Realizadas durante el Ejercicio 2016</w:t>
      </w:r>
    </w:p>
    <w:p w:rsidR="008807A0" w:rsidRDefault="008807A0" w:rsidP="00200FD1">
      <w:pPr>
        <w:spacing w:after="0"/>
      </w:pPr>
    </w:p>
    <w:p w:rsidR="00200FD1" w:rsidRPr="00200FD1" w:rsidRDefault="00200FD1" w:rsidP="00200FD1">
      <w:pPr>
        <w:spacing w:after="0"/>
        <w:rPr>
          <w:sz w:val="16"/>
          <w:szCs w:val="16"/>
        </w:rPr>
      </w:pPr>
      <w:bookmarkStart w:id="0" w:name="_GoBack"/>
      <w:bookmarkEnd w:id="0"/>
    </w:p>
    <w:tbl>
      <w:tblPr>
        <w:tblStyle w:val="Tablaconcuadrcula"/>
        <w:tblW w:w="9640" w:type="dxa"/>
        <w:tblInd w:w="-318" w:type="dxa"/>
        <w:tblLayout w:type="fixed"/>
        <w:tblLook w:val="04A0" w:firstRow="1" w:lastRow="0" w:firstColumn="1" w:lastColumn="0" w:noHBand="0" w:noVBand="1"/>
      </w:tblPr>
      <w:tblGrid>
        <w:gridCol w:w="2127"/>
        <w:gridCol w:w="7513"/>
      </w:tblGrid>
      <w:tr w:rsidR="00CB1109" w:rsidRPr="005050F2" w:rsidTr="00264BB6">
        <w:tc>
          <w:tcPr>
            <w:tcW w:w="2127" w:type="dxa"/>
            <w:shd w:val="clear" w:color="auto" w:fill="FFFFFF" w:themeFill="background1"/>
          </w:tcPr>
          <w:p w:rsidR="00CB1109" w:rsidRPr="005050F2" w:rsidRDefault="00CB1109" w:rsidP="001D18B2">
            <w:pPr>
              <w:jc w:val="center"/>
              <w:rPr>
                <w:rFonts w:ascii="Arial" w:hAnsi="Arial" w:cs="Arial"/>
                <w:b/>
                <w:sz w:val="18"/>
                <w:szCs w:val="18"/>
              </w:rPr>
            </w:pPr>
            <w:r w:rsidRPr="005050F2">
              <w:rPr>
                <w:rFonts w:ascii="Arial" w:hAnsi="Arial" w:cs="Arial"/>
                <w:b/>
                <w:sz w:val="18"/>
                <w:szCs w:val="18"/>
              </w:rPr>
              <w:t>Ejercicio:</w:t>
            </w:r>
          </w:p>
        </w:tc>
        <w:tc>
          <w:tcPr>
            <w:tcW w:w="7513" w:type="dxa"/>
            <w:shd w:val="clear" w:color="auto" w:fill="FFFFFF" w:themeFill="background1"/>
          </w:tcPr>
          <w:p w:rsidR="00CB1109" w:rsidRPr="005050F2" w:rsidRDefault="00CB1109" w:rsidP="001D18B2">
            <w:pPr>
              <w:jc w:val="center"/>
              <w:rPr>
                <w:rFonts w:ascii="Arial" w:hAnsi="Arial" w:cs="Arial"/>
                <w:b/>
                <w:sz w:val="18"/>
                <w:szCs w:val="18"/>
              </w:rPr>
            </w:pPr>
            <w:r w:rsidRPr="005050F2">
              <w:rPr>
                <w:rFonts w:ascii="Arial" w:hAnsi="Arial" w:cs="Arial"/>
                <w:b/>
                <w:sz w:val="18"/>
                <w:szCs w:val="18"/>
              </w:rPr>
              <w:t>2016</w:t>
            </w:r>
          </w:p>
        </w:tc>
      </w:tr>
      <w:tr w:rsidR="00CB1109" w:rsidRPr="005050F2" w:rsidTr="00264BB6">
        <w:trPr>
          <w:trHeight w:val="153"/>
        </w:trPr>
        <w:tc>
          <w:tcPr>
            <w:tcW w:w="2127" w:type="dxa"/>
          </w:tcPr>
          <w:p w:rsidR="00CB1109" w:rsidRPr="005050F2" w:rsidRDefault="00CB1109" w:rsidP="001D18B2">
            <w:pPr>
              <w:rPr>
                <w:rFonts w:ascii="Arial" w:hAnsi="Arial" w:cs="Arial"/>
                <w:sz w:val="18"/>
                <w:szCs w:val="18"/>
              </w:rPr>
            </w:pPr>
            <w:r w:rsidRPr="005050F2">
              <w:rPr>
                <w:rFonts w:ascii="Arial" w:hAnsi="Arial" w:cs="Arial"/>
                <w:sz w:val="18"/>
                <w:szCs w:val="18"/>
              </w:rPr>
              <w:t>Período Auditado:</w:t>
            </w:r>
          </w:p>
        </w:tc>
        <w:tc>
          <w:tcPr>
            <w:tcW w:w="7513" w:type="dxa"/>
          </w:tcPr>
          <w:p w:rsidR="00CB1109" w:rsidRPr="005050F2" w:rsidRDefault="00CB1109" w:rsidP="001D18B2">
            <w:pPr>
              <w:rPr>
                <w:rFonts w:ascii="Arial" w:hAnsi="Arial" w:cs="Arial"/>
                <w:sz w:val="18"/>
                <w:szCs w:val="18"/>
              </w:rPr>
            </w:pPr>
            <w:r w:rsidRPr="005050F2">
              <w:rPr>
                <w:rFonts w:ascii="Arial" w:hAnsi="Arial" w:cs="Arial"/>
                <w:sz w:val="18"/>
                <w:szCs w:val="18"/>
              </w:rPr>
              <w:t>01 de enero al 31 de diciembre del 2015</w:t>
            </w:r>
          </w:p>
        </w:tc>
      </w:tr>
      <w:tr w:rsidR="00CB1109" w:rsidRPr="005050F2" w:rsidTr="00264BB6">
        <w:trPr>
          <w:trHeight w:val="153"/>
        </w:trPr>
        <w:tc>
          <w:tcPr>
            <w:tcW w:w="2127" w:type="dxa"/>
          </w:tcPr>
          <w:p w:rsidR="00CB1109" w:rsidRPr="005050F2" w:rsidRDefault="00CB1109" w:rsidP="001D18B2">
            <w:pPr>
              <w:rPr>
                <w:rFonts w:ascii="Arial" w:hAnsi="Arial" w:cs="Arial"/>
                <w:sz w:val="18"/>
                <w:szCs w:val="18"/>
              </w:rPr>
            </w:pPr>
            <w:r w:rsidRPr="005050F2">
              <w:rPr>
                <w:rFonts w:ascii="Arial" w:hAnsi="Arial" w:cs="Arial"/>
                <w:sz w:val="18"/>
                <w:szCs w:val="18"/>
              </w:rPr>
              <w:t>Rubro auditado</w:t>
            </w:r>
          </w:p>
        </w:tc>
        <w:tc>
          <w:tcPr>
            <w:tcW w:w="7513" w:type="dxa"/>
          </w:tcPr>
          <w:p w:rsidR="00CB1109" w:rsidRPr="005050F2" w:rsidRDefault="00F47749" w:rsidP="001D18B2">
            <w:pPr>
              <w:rPr>
                <w:rFonts w:ascii="Arial" w:hAnsi="Arial" w:cs="Arial"/>
                <w:sz w:val="18"/>
                <w:szCs w:val="18"/>
              </w:rPr>
            </w:pPr>
            <w:r w:rsidRPr="00F47749">
              <w:rPr>
                <w:rFonts w:ascii="Arial" w:hAnsi="Arial" w:cs="Arial"/>
                <w:sz w:val="18"/>
                <w:szCs w:val="18"/>
              </w:rPr>
              <w:t>Cuenta 2141 "Materiales y Útiles para el Procesamiento en Equipos y Bienes Informáticos"</w:t>
            </w:r>
          </w:p>
        </w:tc>
      </w:tr>
      <w:tr w:rsidR="00CB1109" w:rsidRPr="005050F2" w:rsidTr="00264BB6">
        <w:trPr>
          <w:trHeight w:val="153"/>
        </w:trPr>
        <w:tc>
          <w:tcPr>
            <w:tcW w:w="2127" w:type="dxa"/>
          </w:tcPr>
          <w:p w:rsidR="00CB1109" w:rsidRPr="005050F2" w:rsidRDefault="00CB1109" w:rsidP="001D18B2">
            <w:pPr>
              <w:rPr>
                <w:rFonts w:ascii="Arial" w:hAnsi="Arial" w:cs="Arial"/>
                <w:sz w:val="18"/>
                <w:szCs w:val="18"/>
              </w:rPr>
            </w:pPr>
            <w:r w:rsidRPr="005050F2">
              <w:rPr>
                <w:rFonts w:ascii="Arial" w:hAnsi="Arial" w:cs="Arial"/>
                <w:sz w:val="18"/>
                <w:szCs w:val="18"/>
              </w:rPr>
              <w:t>Tipo de Auditoría:</w:t>
            </w:r>
          </w:p>
        </w:tc>
        <w:tc>
          <w:tcPr>
            <w:tcW w:w="7513" w:type="dxa"/>
          </w:tcPr>
          <w:p w:rsidR="00CB1109" w:rsidRPr="005050F2" w:rsidRDefault="00375062" w:rsidP="001D18B2">
            <w:pPr>
              <w:rPr>
                <w:rFonts w:ascii="Arial" w:hAnsi="Arial" w:cs="Arial"/>
                <w:sz w:val="18"/>
                <w:szCs w:val="18"/>
              </w:rPr>
            </w:pPr>
            <w:r>
              <w:rPr>
                <w:rFonts w:ascii="Arial" w:hAnsi="Arial" w:cs="Arial"/>
                <w:sz w:val="18"/>
                <w:szCs w:val="18"/>
              </w:rPr>
              <w:t>Financiera</w:t>
            </w:r>
          </w:p>
        </w:tc>
      </w:tr>
      <w:tr w:rsidR="00CB1109" w:rsidRPr="005050F2" w:rsidTr="00264BB6">
        <w:trPr>
          <w:trHeight w:val="153"/>
        </w:trPr>
        <w:tc>
          <w:tcPr>
            <w:tcW w:w="2127" w:type="dxa"/>
          </w:tcPr>
          <w:p w:rsidR="00CB1109" w:rsidRPr="005050F2" w:rsidRDefault="00CB1109" w:rsidP="001D18B2">
            <w:pPr>
              <w:rPr>
                <w:rFonts w:ascii="Arial" w:hAnsi="Arial" w:cs="Arial"/>
                <w:sz w:val="18"/>
                <w:szCs w:val="18"/>
              </w:rPr>
            </w:pPr>
            <w:r w:rsidRPr="005050F2">
              <w:rPr>
                <w:rFonts w:ascii="Arial" w:hAnsi="Arial" w:cs="Arial"/>
                <w:sz w:val="18"/>
                <w:szCs w:val="18"/>
              </w:rPr>
              <w:t>Número de Auditoría:</w:t>
            </w:r>
          </w:p>
        </w:tc>
        <w:tc>
          <w:tcPr>
            <w:tcW w:w="7513" w:type="dxa"/>
          </w:tcPr>
          <w:p w:rsidR="00CB1109" w:rsidRPr="005050F2" w:rsidRDefault="00F47749" w:rsidP="00375062">
            <w:pPr>
              <w:rPr>
                <w:rFonts w:ascii="Arial" w:hAnsi="Arial" w:cs="Arial"/>
                <w:b/>
                <w:sz w:val="18"/>
                <w:szCs w:val="18"/>
              </w:rPr>
            </w:pPr>
            <w:r>
              <w:rPr>
                <w:rFonts w:ascii="Arial" w:hAnsi="Arial" w:cs="Arial"/>
                <w:b/>
                <w:sz w:val="18"/>
                <w:szCs w:val="18"/>
              </w:rPr>
              <w:t>09</w:t>
            </w:r>
            <w:r w:rsidR="00375062">
              <w:rPr>
                <w:rFonts w:ascii="Arial" w:hAnsi="Arial" w:cs="Arial"/>
                <w:b/>
                <w:sz w:val="18"/>
                <w:szCs w:val="18"/>
              </w:rPr>
              <w:t xml:space="preserve">-16 </w:t>
            </w:r>
          </w:p>
        </w:tc>
      </w:tr>
      <w:tr w:rsidR="00264BB6" w:rsidTr="00264BB6">
        <w:trPr>
          <w:trHeight w:val="153"/>
        </w:trPr>
        <w:tc>
          <w:tcPr>
            <w:tcW w:w="2127" w:type="dxa"/>
            <w:hideMark/>
          </w:tcPr>
          <w:p w:rsidR="00264BB6" w:rsidRDefault="00264BB6">
            <w:pPr>
              <w:rPr>
                <w:rFonts w:ascii="Arial" w:hAnsi="Arial" w:cs="Arial"/>
                <w:sz w:val="18"/>
                <w:szCs w:val="18"/>
              </w:rPr>
            </w:pPr>
            <w:r>
              <w:rPr>
                <w:rFonts w:ascii="Arial" w:hAnsi="Arial" w:cs="Arial"/>
                <w:sz w:val="18"/>
                <w:szCs w:val="18"/>
              </w:rPr>
              <w:t>Órgano que realiza la auditoría</w:t>
            </w:r>
          </w:p>
        </w:tc>
        <w:tc>
          <w:tcPr>
            <w:tcW w:w="7513" w:type="dxa"/>
            <w:hideMark/>
          </w:tcPr>
          <w:p w:rsidR="00264BB6" w:rsidRDefault="00264BB6">
            <w:pPr>
              <w:rPr>
                <w:rFonts w:ascii="Arial" w:hAnsi="Arial" w:cs="Arial"/>
                <w:sz w:val="18"/>
                <w:szCs w:val="18"/>
              </w:rPr>
            </w:pPr>
            <w:r>
              <w:rPr>
                <w:rFonts w:ascii="Arial" w:hAnsi="Arial" w:cs="Arial"/>
                <w:sz w:val="18"/>
                <w:szCs w:val="18"/>
              </w:rPr>
              <w:t>Departamento de Análisis del Egreso</w:t>
            </w:r>
          </w:p>
        </w:tc>
      </w:tr>
      <w:tr w:rsidR="00264BB6" w:rsidTr="00264BB6">
        <w:trPr>
          <w:trHeight w:val="153"/>
        </w:trPr>
        <w:tc>
          <w:tcPr>
            <w:tcW w:w="2127" w:type="dxa"/>
            <w:hideMark/>
          </w:tcPr>
          <w:p w:rsidR="00264BB6" w:rsidRDefault="00264BB6">
            <w:pPr>
              <w:rPr>
                <w:rFonts w:ascii="Arial" w:hAnsi="Arial" w:cs="Arial"/>
                <w:sz w:val="18"/>
                <w:szCs w:val="18"/>
              </w:rPr>
            </w:pPr>
            <w:r>
              <w:rPr>
                <w:rFonts w:ascii="Arial" w:hAnsi="Arial" w:cs="Arial"/>
                <w:sz w:val="18"/>
                <w:szCs w:val="18"/>
              </w:rPr>
              <w:t xml:space="preserve">Nombre del Auditor </w:t>
            </w:r>
          </w:p>
        </w:tc>
        <w:tc>
          <w:tcPr>
            <w:tcW w:w="7513" w:type="dxa"/>
            <w:hideMark/>
          </w:tcPr>
          <w:p w:rsidR="00264BB6" w:rsidRDefault="00264BB6">
            <w:pPr>
              <w:rPr>
                <w:rFonts w:ascii="Arial" w:hAnsi="Arial" w:cs="Arial"/>
                <w:sz w:val="18"/>
                <w:szCs w:val="18"/>
              </w:rPr>
            </w:pPr>
            <w:r>
              <w:rPr>
                <w:rFonts w:ascii="Arial" w:hAnsi="Arial" w:cs="Arial"/>
                <w:sz w:val="18"/>
                <w:szCs w:val="18"/>
              </w:rPr>
              <w:t>Arnulfo Reza Sánchez</w:t>
            </w:r>
          </w:p>
        </w:tc>
      </w:tr>
      <w:tr w:rsidR="00264BB6" w:rsidTr="00264BB6">
        <w:trPr>
          <w:trHeight w:val="153"/>
        </w:trPr>
        <w:tc>
          <w:tcPr>
            <w:tcW w:w="2127" w:type="dxa"/>
            <w:hideMark/>
          </w:tcPr>
          <w:p w:rsidR="00264BB6" w:rsidRDefault="00264BB6">
            <w:pPr>
              <w:rPr>
                <w:rFonts w:ascii="Arial" w:hAnsi="Arial" w:cs="Arial"/>
                <w:sz w:val="18"/>
                <w:szCs w:val="18"/>
              </w:rPr>
            </w:pPr>
            <w:r>
              <w:rPr>
                <w:rFonts w:ascii="Arial" w:hAnsi="Arial" w:cs="Arial"/>
                <w:sz w:val="18"/>
                <w:szCs w:val="18"/>
              </w:rPr>
              <w:t>Fecha de la Auditoría</w:t>
            </w:r>
          </w:p>
        </w:tc>
        <w:tc>
          <w:tcPr>
            <w:tcW w:w="7513" w:type="dxa"/>
            <w:hideMark/>
          </w:tcPr>
          <w:p w:rsidR="00264BB6" w:rsidRDefault="00B75622">
            <w:pPr>
              <w:rPr>
                <w:rFonts w:ascii="Arial" w:hAnsi="Arial" w:cs="Arial"/>
                <w:sz w:val="18"/>
                <w:szCs w:val="18"/>
              </w:rPr>
            </w:pPr>
            <w:r>
              <w:rPr>
                <w:rFonts w:ascii="Arial" w:hAnsi="Arial" w:cs="Arial"/>
                <w:sz w:val="20"/>
                <w:szCs w:val="20"/>
              </w:rPr>
              <w:t>13</w:t>
            </w:r>
            <w:r w:rsidRPr="00F06059">
              <w:rPr>
                <w:rFonts w:ascii="Arial" w:hAnsi="Arial" w:cs="Arial"/>
                <w:sz w:val="20"/>
                <w:szCs w:val="20"/>
              </w:rPr>
              <w:t xml:space="preserve"> de </w:t>
            </w:r>
            <w:r>
              <w:rPr>
                <w:rFonts w:ascii="Arial" w:hAnsi="Arial" w:cs="Arial"/>
                <w:sz w:val="20"/>
                <w:szCs w:val="20"/>
              </w:rPr>
              <w:t>octubre</w:t>
            </w:r>
            <w:r w:rsidRPr="00F06059">
              <w:rPr>
                <w:rFonts w:ascii="Arial" w:hAnsi="Arial" w:cs="Arial"/>
                <w:sz w:val="20"/>
                <w:szCs w:val="20"/>
              </w:rPr>
              <w:t xml:space="preserve"> de 2016</w:t>
            </w:r>
          </w:p>
        </w:tc>
      </w:tr>
      <w:tr w:rsidR="003F3DCC" w:rsidTr="002530EC">
        <w:trPr>
          <w:trHeight w:val="153"/>
        </w:trPr>
        <w:tc>
          <w:tcPr>
            <w:tcW w:w="2127" w:type="dxa"/>
            <w:shd w:val="clear" w:color="auto" w:fill="auto"/>
          </w:tcPr>
          <w:p w:rsidR="003F3DCC" w:rsidRDefault="003F3DCC">
            <w:pPr>
              <w:rPr>
                <w:rFonts w:ascii="Arial" w:hAnsi="Arial" w:cs="Arial"/>
                <w:sz w:val="18"/>
                <w:szCs w:val="18"/>
              </w:rPr>
            </w:pPr>
            <w:r w:rsidRPr="005050F2">
              <w:rPr>
                <w:rFonts w:ascii="Arial" w:hAnsi="Arial" w:cs="Arial"/>
                <w:sz w:val="18"/>
                <w:szCs w:val="18"/>
              </w:rPr>
              <w:t>Rubro</w:t>
            </w:r>
            <w:r>
              <w:rPr>
                <w:rFonts w:ascii="Arial" w:hAnsi="Arial" w:cs="Arial"/>
                <w:sz w:val="18"/>
                <w:szCs w:val="18"/>
              </w:rPr>
              <w:t>s a auditar</w:t>
            </w:r>
          </w:p>
        </w:tc>
        <w:tc>
          <w:tcPr>
            <w:tcW w:w="7513" w:type="dxa"/>
            <w:shd w:val="clear" w:color="auto" w:fill="auto"/>
          </w:tcPr>
          <w:p w:rsidR="003F3DCC" w:rsidRDefault="002530EC" w:rsidP="002530EC">
            <w:pPr>
              <w:jc w:val="both"/>
              <w:rPr>
                <w:rFonts w:ascii="Arial" w:hAnsi="Arial" w:cs="Arial"/>
                <w:sz w:val="20"/>
                <w:szCs w:val="20"/>
              </w:rPr>
            </w:pPr>
            <w:r w:rsidRPr="00F47749">
              <w:rPr>
                <w:rFonts w:ascii="Arial" w:hAnsi="Arial" w:cs="Arial"/>
                <w:sz w:val="18"/>
                <w:szCs w:val="18"/>
              </w:rPr>
              <w:t>Cuenta 2141 "Materiales y Útiles para el Procesamiento en Equipos y Bienes Informáticos"</w:t>
            </w:r>
          </w:p>
        </w:tc>
      </w:tr>
      <w:tr w:rsidR="00435AF1" w:rsidRPr="00375062" w:rsidTr="00264BB6">
        <w:trPr>
          <w:trHeight w:val="300"/>
        </w:trPr>
        <w:tc>
          <w:tcPr>
            <w:tcW w:w="2127" w:type="dxa"/>
            <w:vMerge w:val="restart"/>
            <w:noWrap/>
            <w:vAlign w:val="center"/>
            <w:hideMark/>
          </w:tcPr>
          <w:p w:rsidR="00435AF1" w:rsidRPr="002530EC" w:rsidRDefault="00435AF1" w:rsidP="002530EC">
            <w:pPr>
              <w:rPr>
                <w:rFonts w:ascii="Calibri" w:eastAsia="Times New Roman" w:hAnsi="Calibri" w:cs="Times New Roman"/>
                <w:lang w:eastAsia="es-MX"/>
              </w:rPr>
            </w:pPr>
            <w:r w:rsidRPr="002530EC">
              <w:rPr>
                <w:rFonts w:ascii="Arial" w:hAnsi="Arial" w:cs="Arial"/>
                <w:sz w:val="18"/>
                <w:szCs w:val="18"/>
              </w:rPr>
              <w:t>Descripción de observaciones determinadas:</w:t>
            </w:r>
          </w:p>
        </w:tc>
        <w:tc>
          <w:tcPr>
            <w:tcW w:w="7513" w:type="dxa"/>
            <w:noWrap/>
            <w:hideMark/>
          </w:tcPr>
          <w:p w:rsidR="00435AF1" w:rsidRPr="00200FD1" w:rsidRDefault="00435AF1" w:rsidP="00F47749">
            <w:pPr>
              <w:rPr>
                <w:rFonts w:ascii="Arial" w:hAnsi="Arial" w:cs="Arial"/>
                <w:b/>
                <w:sz w:val="18"/>
                <w:szCs w:val="18"/>
              </w:rPr>
            </w:pPr>
            <w:r w:rsidRPr="00200FD1">
              <w:rPr>
                <w:rFonts w:ascii="Arial" w:hAnsi="Arial" w:cs="Arial"/>
                <w:b/>
                <w:sz w:val="18"/>
                <w:szCs w:val="18"/>
              </w:rPr>
              <w:t xml:space="preserve">OBSERVACIÓN 1: </w:t>
            </w:r>
          </w:p>
          <w:p w:rsidR="00435AF1" w:rsidRPr="00200FD1" w:rsidRDefault="00435AF1" w:rsidP="00F47749">
            <w:pPr>
              <w:jc w:val="both"/>
              <w:rPr>
                <w:rFonts w:ascii="Arial" w:hAnsi="Arial" w:cs="Arial"/>
                <w:sz w:val="18"/>
                <w:szCs w:val="18"/>
              </w:rPr>
            </w:pPr>
            <w:r w:rsidRPr="00200FD1">
              <w:rPr>
                <w:rFonts w:ascii="Arial" w:hAnsi="Arial" w:cs="Arial"/>
                <w:sz w:val="18"/>
                <w:szCs w:val="18"/>
              </w:rPr>
              <w:t xml:space="preserve">Derivado del análisis a los estados financieros y presupuestales, correspondientes al gasto ejercido en la partida presupuestal 2141 "Materiales y útiles para el procesamiento en equipos y bienes informáticos", durante el ejercicio 2015, se detectó que conforme al clasificador por unidades administrativas del Poder Legislativo, proporcionado por la Dirección de Programación y Presupuesto, no fue posible determinar el gasto ejercido por la Secretaría de Administración y Finanzas y de la Secretaría de Asuntos Parlamentarios toda vez que la clave de </w:t>
            </w:r>
            <w:proofErr w:type="spellStart"/>
            <w:r w:rsidRPr="00200FD1">
              <w:rPr>
                <w:rFonts w:ascii="Arial" w:hAnsi="Arial" w:cs="Arial"/>
                <w:sz w:val="18"/>
                <w:szCs w:val="18"/>
              </w:rPr>
              <w:t>Subsubcuenta</w:t>
            </w:r>
            <w:proofErr w:type="spellEnd"/>
            <w:r w:rsidRPr="00200FD1">
              <w:rPr>
                <w:rFonts w:ascii="Arial" w:hAnsi="Arial" w:cs="Arial"/>
                <w:sz w:val="18"/>
                <w:szCs w:val="18"/>
              </w:rPr>
              <w:t xml:space="preserve"> 10101010102105 es la misma para ambas dependencias, siendo que administrativamente realizan actividades muy diferentes.</w:t>
            </w:r>
          </w:p>
          <w:p w:rsidR="00435AF1" w:rsidRPr="00200FD1" w:rsidRDefault="00435AF1" w:rsidP="00F47749">
            <w:pPr>
              <w:jc w:val="both"/>
              <w:rPr>
                <w:rFonts w:ascii="Arial" w:hAnsi="Arial" w:cs="Arial"/>
                <w:sz w:val="18"/>
                <w:szCs w:val="18"/>
              </w:rPr>
            </w:pPr>
          </w:p>
          <w:p w:rsidR="00435AF1" w:rsidRPr="00200FD1" w:rsidRDefault="00435AF1" w:rsidP="00F47749">
            <w:pPr>
              <w:jc w:val="both"/>
              <w:rPr>
                <w:rFonts w:ascii="Arial" w:hAnsi="Arial" w:cs="Arial"/>
                <w:sz w:val="18"/>
                <w:szCs w:val="18"/>
              </w:rPr>
            </w:pPr>
            <w:r w:rsidRPr="00200FD1">
              <w:rPr>
                <w:rFonts w:ascii="Arial" w:hAnsi="Arial" w:cs="Arial"/>
                <w:sz w:val="18"/>
                <w:szCs w:val="18"/>
              </w:rPr>
              <w:t>Lo anterior contraviene lo estipulado en los artículos 33 y 35 de la Ley General de Contabilidad Gubernamental, así como a los Postulados básicos de contabilidad gubernamental, correspondiente a la Información suficiente.</w:t>
            </w:r>
          </w:p>
          <w:p w:rsidR="00435AF1" w:rsidRPr="00200FD1" w:rsidRDefault="00435AF1" w:rsidP="00F47749">
            <w:pPr>
              <w:jc w:val="both"/>
              <w:rPr>
                <w:rFonts w:ascii="Arial" w:hAnsi="Arial" w:cs="Arial"/>
                <w:sz w:val="18"/>
                <w:szCs w:val="18"/>
              </w:rPr>
            </w:pPr>
          </w:p>
          <w:p w:rsidR="00435AF1" w:rsidRPr="00200FD1" w:rsidRDefault="00435AF1" w:rsidP="00435AF1">
            <w:pPr>
              <w:jc w:val="both"/>
              <w:rPr>
                <w:rFonts w:ascii="Arial" w:eastAsia="Times New Roman" w:hAnsi="Arial" w:cs="Arial"/>
                <w:b/>
                <w:sz w:val="18"/>
                <w:szCs w:val="18"/>
                <w:lang w:val="es-ES" w:eastAsia="es-ES"/>
              </w:rPr>
            </w:pPr>
            <w:r w:rsidRPr="00200FD1">
              <w:rPr>
                <w:rFonts w:ascii="Arial" w:eastAsia="Times New Roman" w:hAnsi="Arial" w:cs="Arial"/>
                <w:b/>
                <w:sz w:val="18"/>
                <w:szCs w:val="18"/>
                <w:lang w:val="es-ES" w:eastAsia="es-ES"/>
              </w:rPr>
              <w:t>SITUACIÓN DE LA OBSERVACIÓN:</w:t>
            </w:r>
          </w:p>
          <w:p w:rsidR="00435AF1" w:rsidRPr="00200FD1" w:rsidRDefault="00435AF1" w:rsidP="00435AF1">
            <w:pPr>
              <w:jc w:val="both"/>
              <w:rPr>
                <w:rFonts w:ascii="Arial" w:hAnsi="Arial" w:cs="Arial"/>
                <w:sz w:val="18"/>
                <w:szCs w:val="18"/>
              </w:rPr>
            </w:pPr>
            <w:r w:rsidRPr="00200FD1">
              <w:rPr>
                <w:rFonts w:ascii="Arial" w:eastAsia="Times New Roman" w:hAnsi="Arial" w:cs="Arial"/>
                <w:sz w:val="18"/>
                <w:szCs w:val="18"/>
                <w:lang w:val="es-ES" w:eastAsia="es-ES"/>
              </w:rPr>
              <w:t>El área auditada aclara que</w:t>
            </w:r>
            <w:r w:rsidRPr="00200FD1">
              <w:rPr>
                <w:rFonts w:ascii="Arial" w:hAnsi="Arial" w:cs="Arial"/>
                <w:sz w:val="18"/>
                <w:szCs w:val="18"/>
              </w:rPr>
              <w:t xml:space="preserve"> el presupuesto del Poder Legislativo se conforma y se integra por proyectos y </w:t>
            </w:r>
            <w:r w:rsidRPr="00200FD1">
              <w:rPr>
                <w:rFonts w:ascii="Arial" w:eastAsia="Times New Roman" w:hAnsi="Arial" w:cs="Arial"/>
                <w:sz w:val="18"/>
                <w:szCs w:val="18"/>
                <w:lang w:val="es-ES" w:eastAsia="es-ES"/>
              </w:rPr>
              <w:t>está alineado al marco normativo establecido por el gobierno del Estado de México para el cumplimiento de su planeación programática.</w:t>
            </w:r>
          </w:p>
          <w:p w:rsidR="00435AF1" w:rsidRPr="00A511AC" w:rsidRDefault="00435AF1" w:rsidP="00435AF1">
            <w:pPr>
              <w:jc w:val="both"/>
              <w:rPr>
                <w:rFonts w:ascii="Arial" w:eastAsia="Times New Roman" w:hAnsi="Arial" w:cs="Arial"/>
                <w:b/>
                <w:color w:val="FF0000"/>
                <w:sz w:val="18"/>
                <w:szCs w:val="18"/>
                <w:lang w:val="es-ES" w:eastAsia="es-ES"/>
              </w:rPr>
            </w:pPr>
            <w:r w:rsidRPr="00200FD1">
              <w:rPr>
                <w:rFonts w:ascii="Arial" w:eastAsia="Times New Roman" w:hAnsi="Arial" w:cs="Arial"/>
                <w:b/>
                <w:sz w:val="18"/>
                <w:szCs w:val="18"/>
                <w:lang w:val="es-ES" w:eastAsia="es-ES"/>
              </w:rPr>
              <w:t>Solventada.</w:t>
            </w:r>
          </w:p>
        </w:tc>
      </w:tr>
      <w:tr w:rsidR="00435AF1" w:rsidRPr="00375062" w:rsidTr="00264BB6">
        <w:tc>
          <w:tcPr>
            <w:tcW w:w="2127" w:type="dxa"/>
            <w:vMerge/>
          </w:tcPr>
          <w:p w:rsidR="00435AF1" w:rsidRPr="00CC026E" w:rsidRDefault="00435AF1">
            <w:pPr>
              <w:rPr>
                <w:rFonts w:ascii="Arial" w:hAnsi="Arial" w:cs="Arial"/>
                <w:sz w:val="18"/>
                <w:szCs w:val="18"/>
              </w:rPr>
            </w:pPr>
          </w:p>
        </w:tc>
        <w:tc>
          <w:tcPr>
            <w:tcW w:w="7513" w:type="dxa"/>
          </w:tcPr>
          <w:p w:rsidR="00435AF1" w:rsidRPr="00200FD1" w:rsidRDefault="00435AF1" w:rsidP="00435AF1">
            <w:pPr>
              <w:jc w:val="both"/>
              <w:rPr>
                <w:rFonts w:ascii="Arial" w:eastAsia="Times New Roman" w:hAnsi="Arial" w:cs="Arial"/>
                <w:b/>
                <w:sz w:val="18"/>
                <w:szCs w:val="18"/>
                <w:lang w:val="es-ES" w:eastAsia="es-ES"/>
              </w:rPr>
            </w:pPr>
            <w:r w:rsidRPr="00200FD1">
              <w:rPr>
                <w:rFonts w:ascii="Arial" w:eastAsia="Times New Roman" w:hAnsi="Arial" w:cs="Arial"/>
                <w:b/>
                <w:sz w:val="18"/>
                <w:szCs w:val="18"/>
                <w:lang w:val="es-ES" w:eastAsia="es-ES"/>
              </w:rPr>
              <w:t xml:space="preserve">OBSERVACIÓN 2: </w:t>
            </w:r>
          </w:p>
          <w:p w:rsidR="00435AF1" w:rsidRPr="00200FD1" w:rsidRDefault="00435AF1" w:rsidP="00435AF1">
            <w:pPr>
              <w:jc w:val="both"/>
              <w:rPr>
                <w:rFonts w:ascii="Arial" w:eastAsia="Times New Roman" w:hAnsi="Arial" w:cs="Arial"/>
                <w:sz w:val="18"/>
                <w:szCs w:val="18"/>
                <w:lang w:val="es-ES" w:eastAsia="es-ES"/>
              </w:rPr>
            </w:pPr>
            <w:r w:rsidRPr="00200FD1">
              <w:rPr>
                <w:rFonts w:ascii="Arial" w:eastAsia="Times New Roman" w:hAnsi="Arial" w:cs="Arial"/>
                <w:sz w:val="18"/>
                <w:szCs w:val="18"/>
                <w:lang w:val="es-ES" w:eastAsia="es-ES"/>
              </w:rPr>
              <w:t>Como resultado del análisis a las pólizas de diario y egresos del gasto ejercido correspondiente a la partida 2141, "Materiales y útiles para el procesamiento en equipos y bienes informáticos" durante el ejercicio 2015, se detectó lo siguiente:</w:t>
            </w:r>
          </w:p>
          <w:p w:rsidR="00435AF1" w:rsidRPr="00200FD1" w:rsidRDefault="00435AF1" w:rsidP="00435AF1">
            <w:pPr>
              <w:jc w:val="both"/>
              <w:rPr>
                <w:rFonts w:ascii="Arial" w:eastAsia="Times New Roman" w:hAnsi="Arial" w:cs="Arial"/>
                <w:sz w:val="18"/>
                <w:szCs w:val="18"/>
                <w:lang w:val="es-ES" w:eastAsia="es-ES"/>
              </w:rPr>
            </w:pPr>
          </w:p>
          <w:p w:rsidR="00435AF1" w:rsidRPr="00200FD1" w:rsidRDefault="00435AF1" w:rsidP="00435AF1">
            <w:pPr>
              <w:jc w:val="both"/>
              <w:rPr>
                <w:rFonts w:ascii="Arial" w:eastAsia="Times New Roman" w:hAnsi="Arial" w:cs="Arial"/>
                <w:sz w:val="18"/>
                <w:szCs w:val="18"/>
                <w:lang w:val="es-ES" w:eastAsia="es-ES"/>
              </w:rPr>
            </w:pPr>
            <w:r w:rsidRPr="00200FD1">
              <w:rPr>
                <w:rFonts w:ascii="Arial" w:eastAsia="Times New Roman" w:hAnsi="Arial" w:cs="Arial"/>
                <w:sz w:val="18"/>
                <w:szCs w:val="18"/>
                <w:lang w:val="es-ES" w:eastAsia="es-ES"/>
              </w:rPr>
              <w:t>La póliza de diario D-1463 de fecha 25 de noviembre de 2015, correspondiente a la comprobación y cancelación de la cuenta de Deudores diversos por un monto de $3,225,000.00 registrados en los cheques 640 al 700 y del 708 al 721, cada uno por $43,000.00 de fecha 14 de septiembre de 2015, tiene por soporte documental las copias de los 75 cheques mencionados sin que haya mayor información ni un soporte que sustente la comprobación del gasto registrado en la cuenta 2141, “Materiales y útiles para el procesamiento en equipos y bienes informáticos”.</w:t>
            </w:r>
          </w:p>
          <w:p w:rsidR="00435AF1" w:rsidRPr="00200FD1" w:rsidRDefault="00435AF1" w:rsidP="00435AF1">
            <w:pPr>
              <w:jc w:val="both"/>
              <w:rPr>
                <w:rFonts w:ascii="Arial" w:eastAsia="Times New Roman" w:hAnsi="Arial" w:cs="Arial"/>
                <w:sz w:val="18"/>
                <w:szCs w:val="18"/>
                <w:lang w:val="es-ES" w:eastAsia="es-ES"/>
              </w:rPr>
            </w:pPr>
          </w:p>
          <w:p w:rsidR="00A511AC" w:rsidRPr="00200FD1" w:rsidRDefault="00A511AC" w:rsidP="00A511AC">
            <w:pPr>
              <w:jc w:val="both"/>
              <w:rPr>
                <w:rFonts w:ascii="Arial" w:eastAsia="Times New Roman" w:hAnsi="Arial" w:cs="Arial"/>
                <w:b/>
                <w:sz w:val="18"/>
                <w:szCs w:val="18"/>
                <w:lang w:val="es-ES" w:eastAsia="es-ES"/>
              </w:rPr>
            </w:pPr>
            <w:r w:rsidRPr="00200FD1">
              <w:rPr>
                <w:rFonts w:ascii="Arial" w:eastAsia="Times New Roman" w:hAnsi="Arial" w:cs="Arial"/>
                <w:b/>
                <w:sz w:val="18"/>
                <w:szCs w:val="18"/>
                <w:lang w:val="es-ES" w:eastAsia="es-ES"/>
              </w:rPr>
              <w:t>SITUACIÓN DE LA OBSERVACIÓN:</w:t>
            </w:r>
          </w:p>
          <w:p w:rsidR="00A511AC" w:rsidRPr="00200FD1" w:rsidRDefault="00A511AC" w:rsidP="00A511AC">
            <w:pPr>
              <w:jc w:val="both"/>
              <w:rPr>
                <w:rFonts w:ascii="Arial" w:eastAsia="Times New Roman" w:hAnsi="Arial" w:cs="Arial"/>
                <w:sz w:val="18"/>
                <w:szCs w:val="18"/>
                <w:lang w:val="es-ES" w:eastAsia="es-ES"/>
              </w:rPr>
            </w:pPr>
            <w:r w:rsidRPr="00200FD1">
              <w:rPr>
                <w:rFonts w:ascii="Arial" w:eastAsia="Times New Roman" w:hAnsi="Arial" w:cs="Arial"/>
                <w:sz w:val="18"/>
                <w:szCs w:val="18"/>
                <w:lang w:val="es-ES" w:eastAsia="es-ES"/>
              </w:rPr>
              <w:t>El área auditada aclara que con el objeto de llevar a cabo un mejor control de las cuentas presupuestales del egreso, así como las cuentas por pagar (proveedores), se crea la cuenta de deudores diversos a nombre de la persona solicitante del recurso comprometido.</w:t>
            </w:r>
          </w:p>
          <w:p w:rsidR="00435AF1" w:rsidRPr="00A511AC" w:rsidRDefault="00A511AC" w:rsidP="00A511AC">
            <w:pPr>
              <w:jc w:val="both"/>
              <w:rPr>
                <w:rFonts w:ascii="Arial" w:eastAsia="Times New Roman" w:hAnsi="Arial" w:cs="Arial"/>
                <w:sz w:val="18"/>
                <w:szCs w:val="18"/>
                <w:lang w:val="es-ES" w:eastAsia="es-ES"/>
              </w:rPr>
            </w:pPr>
            <w:r w:rsidRPr="00200FD1">
              <w:rPr>
                <w:rFonts w:ascii="Arial" w:eastAsia="Times New Roman" w:hAnsi="Arial" w:cs="Arial"/>
                <w:b/>
                <w:sz w:val="18"/>
                <w:szCs w:val="18"/>
                <w:lang w:val="es-ES" w:eastAsia="es-ES"/>
              </w:rPr>
              <w:t xml:space="preserve">Solventada. </w:t>
            </w:r>
          </w:p>
        </w:tc>
      </w:tr>
      <w:tr w:rsidR="00375062" w:rsidRPr="00375062" w:rsidTr="00264BB6">
        <w:tc>
          <w:tcPr>
            <w:tcW w:w="2127" w:type="dxa"/>
            <w:hideMark/>
          </w:tcPr>
          <w:p w:rsidR="002C4E5F" w:rsidRPr="00CC026E" w:rsidRDefault="002C4E5F">
            <w:pPr>
              <w:rPr>
                <w:rFonts w:ascii="Arial" w:hAnsi="Arial" w:cs="Arial"/>
                <w:sz w:val="18"/>
                <w:szCs w:val="18"/>
              </w:rPr>
            </w:pPr>
            <w:r w:rsidRPr="00CC026E">
              <w:rPr>
                <w:rFonts w:ascii="Arial" w:hAnsi="Arial" w:cs="Arial"/>
                <w:sz w:val="18"/>
                <w:szCs w:val="18"/>
              </w:rPr>
              <w:t xml:space="preserve">Acreditación del </w:t>
            </w:r>
            <w:r w:rsidRPr="00CC026E">
              <w:rPr>
                <w:rFonts w:ascii="Arial" w:hAnsi="Arial" w:cs="Arial"/>
                <w:sz w:val="18"/>
                <w:szCs w:val="18"/>
              </w:rPr>
              <w:lastRenderedPageBreak/>
              <w:t>cumplimiento de observaciones y sanciones:</w:t>
            </w:r>
          </w:p>
        </w:tc>
        <w:tc>
          <w:tcPr>
            <w:tcW w:w="7513" w:type="dxa"/>
            <w:hideMark/>
          </w:tcPr>
          <w:p w:rsidR="002C4E5F" w:rsidRPr="00CC026E" w:rsidRDefault="002C4E5F">
            <w:pPr>
              <w:rPr>
                <w:rFonts w:ascii="Arial" w:hAnsi="Arial" w:cs="Arial"/>
                <w:b/>
                <w:sz w:val="18"/>
                <w:szCs w:val="18"/>
              </w:rPr>
            </w:pPr>
            <w:r w:rsidRPr="00CC026E">
              <w:rPr>
                <w:rFonts w:ascii="Arial" w:hAnsi="Arial" w:cs="Arial"/>
                <w:b/>
                <w:sz w:val="18"/>
                <w:szCs w:val="18"/>
              </w:rPr>
              <w:lastRenderedPageBreak/>
              <w:t>Solventadas</w:t>
            </w:r>
            <w:r w:rsidR="00A511AC">
              <w:rPr>
                <w:rFonts w:ascii="Arial" w:hAnsi="Arial" w:cs="Arial"/>
                <w:b/>
                <w:sz w:val="18"/>
                <w:szCs w:val="18"/>
              </w:rPr>
              <w:t>.</w:t>
            </w:r>
          </w:p>
        </w:tc>
      </w:tr>
    </w:tbl>
    <w:p w:rsidR="00CB1109" w:rsidRPr="006742E3" w:rsidRDefault="00CB1109"/>
    <w:sectPr w:rsidR="00CB1109" w:rsidRPr="006742E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D2" w:rsidRDefault="00314DD2" w:rsidP="00CB1109">
      <w:pPr>
        <w:spacing w:after="0" w:line="240" w:lineRule="auto"/>
      </w:pPr>
      <w:r>
        <w:separator/>
      </w:r>
    </w:p>
  </w:endnote>
  <w:endnote w:type="continuationSeparator" w:id="0">
    <w:p w:rsidR="00314DD2" w:rsidRDefault="00314DD2" w:rsidP="00CB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D2" w:rsidRDefault="00314DD2" w:rsidP="00CB1109">
      <w:pPr>
        <w:spacing w:after="0" w:line="240" w:lineRule="auto"/>
      </w:pPr>
      <w:r>
        <w:separator/>
      </w:r>
    </w:p>
  </w:footnote>
  <w:footnote w:type="continuationSeparator" w:id="0">
    <w:p w:rsidR="00314DD2" w:rsidRDefault="00314DD2" w:rsidP="00CB1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09" w:rsidRPr="00520D1E" w:rsidRDefault="00CB1109" w:rsidP="00CB1109">
    <w:pPr>
      <w:pStyle w:val="Encabezado"/>
      <w:jc w:val="center"/>
      <w:rPr>
        <w:b/>
        <w:sz w:val="20"/>
        <w:szCs w:val="20"/>
        <w:lang w:val="es-ES"/>
      </w:rPr>
    </w:pPr>
    <w:r w:rsidRPr="00520D1E">
      <w:rPr>
        <w:b/>
        <w:sz w:val="20"/>
        <w:szCs w:val="20"/>
        <w:lang w:val="es-ES"/>
      </w:rPr>
      <w:t>DEPARTAMENTO DE ANÁLISIS DEL EGRESO</w:t>
    </w:r>
  </w:p>
  <w:p w:rsidR="00CB1109" w:rsidRDefault="00CB11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7AE2"/>
    <w:multiLevelType w:val="hybridMultilevel"/>
    <w:tmpl w:val="8AF6963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8C62413"/>
    <w:multiLevelType w:val="hybridMultilevel"/>
    <w:tmpl w:val="79CAD3B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09"/>
    <w:rsid w:val="000838D9"/>
    <w:rsid w:val="0009095E"/>
    <w:rsid w:val="000A3002"/>
    <w:rsid w:val="000B79DE"/>
    <w:rsid w:val="00126595"/>
    <w:rsid w:val="001F6EC6"/>
    <w:rsid w:val="00200FD1"/>
    <w:rsid w:val="002530EC"/>
    <w:rsid w:val="00264BB6"/>
    <w:rsid w:val="002C4E5F"/>
    <w:rsid w:val="00304B62"/>
    <w:rsid w:val="00314DD2"/>
    <w:rsid w:val="00337675"/>
    <w:rsid w:val="0034507B"/>
    <w:rsid w:val="00375062"/>
    <w:rsid w:val="003D7FA7"/>
    <w:rsid w:val="003E7816"/>
    <w:rsid w:val="003F3DCC"/>
    <w:rsid w:val="00434EFD"/>
    <w:rsid w:val="00435AF1"/>
    <w:rsid w:val="00453CAD"/>
    <w:rsid w:val="004918C3"/>
    <w:rsid w:val="005242E7"/>
    <w:rsid w:val="006742E3"/>
    <w:rsid w:val="00770145"/>
    <w:rsid w:val="00871A53"/>
    <w:rsid w:val="008807A0"/>
    <w:rsid w:val="008E479F"/>
    <w:rsid w:val="009258FE"/>
    <w:rsid w:val="00A511AC"/>
    <w:rsid w:val="00AB6F3B"/>
    <w:rsid w:val="00AC44BF"/>
    <w:rsid w:val="00B25CD8"/>
    <w:rsid w:val="00B308D4"/>
    <w:rsid w:val="00B75622"/>
    <w:rsid w:val="00C3256D"/>
    <w:rsid w:val="00CB1109"/>
    <w:rsid w:val="00CC026E"/>
    <w:rsid w:val="00D04FAE"/>
    <w:rsid w:val="00DA4561"/>
    <w:rsid w:val="00E829AC"/>
    <w:rsid w:val="00E95704"/>
    <w:rsid w:val="00E9720F"/>
    <w:rsid w:val="00F32971"/>
    <w:rsid w:val="00F47749"/>
    <w:rsid w:val="00FD54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09"/>
    <w:pPr>
      <w:tabs>
        <w:tab w:val="center" w:pos="4419"/>
        <w:tab w:val="right" w:pos="8838"/>
      </w:tabs>
      <w:spacing w:after="0" w:line="240" w:lineRule="auto"/>
    </w:pPr>
  </w:style>
  <w:style w:type="character" w:customStyle="1" w:styleId="EncabezadoCar">
    <w:name w:val="Encabezado Car"/>
    <w:basedOn w:val="Fuentedeprrafopredeter"/>
    <w:link w:val="Encabezado"/>
    <w:rsid w:val="00CB1109"/>
  </w:style>
  <w:style w:type="paragraph" w:styleId="Piedepgina">
    <w:name w:val="footer"/>
    <w:basedOn w:val="Normal"/>
    <w:link w:val="PiedepginaCar"/>
    <w:uiPriority w:val="99"/>
    <w:unhideWhenUsed/>
    <w:rsid w:val="00CB1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109"/>
  </w:style>
  <w:style w:type="table" w:styleId="Tablaconcuadrcula">
    <w:name w:val="Table Grid"/>
    <w:basedOn w:val="Tablanormal"/>
    <w:uiPriority w:val="59"/>
    <w:rsid w:val="00CB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7749"/>
    <w:pPr>
      <w:spacing w:after="0" w:line="240" w:lineRule="auto"/>
      <w:ind w:left="708"/>
    </w:pPr>
    <w:rPr>
      <w:rFonts w:ascii="Arial Narrow" w:eastAsia="Times New Roman" w:hAnsi="Arial Narrow" w:cs="Times New Roman"/>
      <w:lang w:val="es-ES" w:eastAsia="es-ES"/>
    </w:rPr>
  </w:style>
  <w:style w:type="table" w:customStyle="1" w:styleId="Tablaconcuadrcula4">
    <w:name w:val="Tabla con cuadrícula4"/>
    <w:basedOn w:val="Tablanormal"/>
    <w:next w:val="Tablaconcuadrcula"/>
    <w:uiPriority w:val="59"/>
    <w:rsid w:val="00F4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09"/>
    <w:pPr>
      <w:tabs>
        <w:tab w:val="center" w:pos="4419"/>
        <w:tab w:val="right" w:pos="8838"/>
      </w:tabs>
      <w:spacing w:after="0" w:line="240" w:lineRule="auto"/>
    </w:pPr>
  </w:style>
  <w:style w:type="character" w:customStyle="1" w:styleId="EncabezadoCar">
    <w:name w:val="Encabezado Car"/>
    <w:basedOn w:val="Fuentedeprrafopredeter"/>
    <w:link w:val="Encabezado"/>
    <w:rsid w:val="00CB1109"/>
  </w:style>
  <w:style w:type="paragraph" w:styleId="Piedepgina">
    <w:name w:val="footer"/>
    <w:basedOn w:val="Normal"/>
    <w:link w:val="PiedepginaCar"/>
    <w:uiPriority w:val="99"/>
    <w:unhideWhenUsed/>
    <w:rsid w:val="00CB1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109"/>
  </w:style>
  <w:style w:type="table" w:styleId="Tablaconcuadrcula">
    <w:name w:val="Table Grid"/>
    <w:basedOn w:val="Tablanormal"/>
    <w:uiPriority w:val="59"/>
    <w:rsid w:val="00CB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7749"/>
    <w:pPr>
      <w:spacing w:after="0" w:line="240" w:lineRule="auto"/>
      <w:ind w:left="708"/>
    </w:pPr>
    <w:rPr>
      <w:rFonts w:ascii="Arial Narrow" w:eastAsia="Times New Roman" w:hAnsi="Arial Narrow" w:cs="Times New Roman"/>
      <w:lang w:val="es-ES" w:eastAsia="es-ES"/>
    </w:rPr>
  </w:style>
  <w:style w:type="table" w:customStyle="1" w:styleId="Tablaconcuadrcula4">
    <w:name w:val="Tabla con cuadrícula4"/>
    <w:basedOn w:val="Tablanormal"/>
    <w:next w:val="Tablaconcuadrcula"/>
    <w:uiPriority w:val="59"/>
    <w:rsid w:val="00F4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3898">
      <w:bodyDiv w:val="1"/>
      <w:marLeft w:val="0"/>
      <w:marRight w:val="0"/>
      <w:marTop w:val="0"/>
      <w:marBottom w:val="0"/>
      <w:divBdr>
        <w:top w:val="none" w:sz="0" w:space="0" w:color="auto"/>
        <w:left w:val="none" w:sz="0" w:space="0" w:color="auto"/>
        <w:bottom w:val="none" w:sz="0" w:space="0" w:color="auto"/>
        <w:right w:val="none" w:sz="0" w:space="0" w:color="auto"/>
      </w:divBdr>
    </w:div>
    <w:div w:id="11820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A-36165</dc:creator>
  <cp:lastModifiedBy>A39623</cp:lastModifiedBy>
  <cp:revision>20</cp:revision>
  <cp:lastPrinted>2017-07-27T15:29:00Z</cp:lastPrinted>
  <dcterms:created xsi:type="dcterms:W3CDTF">2017-03-07T01:08:00Z</dcterms:created>
  <dcterms:modified xsi:type="dcterms:W3CDTF">2017-07-27T15:35:00Z</dcterms:modified>
</cp:coreProperties>
</file>