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FC" w:rsidRPr="00FA54FC" w:rsidRDefault="00FA54FC" w:rsidP="00FA5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FA54FC">
        <w:rPr>
          <w:rFonts w:ascii="Arial" w:hAnsi="Arial" w:cs="Arial"/>
          <w:b/>
          <w:bCs/>
          <w:color w:val="000000"/>
          <w:sz w:val="18"/>
          <w:szCs w:val="18"/>
        </w:rPr>
        <w:t xml:space="preserve">Anexo 2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714"/>
        <w:gridCol w:w="1714"/>
        <w:gridCol w:w="1714"/>
        <w:gridCol w:w="1726"/>
      </w:tblGrid>
      <w:tr w:rsidR="00FA54FC" w:rsidRPr="00FA54FC" w:rsidTr="00FA54F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54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Tabla de Actualización y Conservación de la Información </w:t>
            </w: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Artículo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Fracción/inciso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Periodo de actualización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Observaciones acerca de la información a publicar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Periodo de Conservación de la información </w:t>
            </w:r>
          </w:p>
        </w:tc>
      </w:tr>
      <w:tr w:rsidR="00FA54FC" w:rsidRPr="00FA54FC" w:rsidTr="00FA54F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Artículo 70 En la Ley Federal y de las Entidades Federativas se contemplará que los sujetos obligados pongan a disposición del público y mantengan actualizada, en los respectivos medios electrónicos, de acuerdo con sus facultades, atribuciones, funciones u objeto social, según corresponda, la información, por lo menos, de los temas, documentos y políticas que a continuación se señalan: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Fracción I </w:t>
            </w:r>
            <w:r w:rsidRPr="00FA54F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El marco normativo aplicable al sujeto obligado, en el que deberá incluirse leyes, códigos, reglamentos, decretos de creación, manuales administrativos, reglas de operación, criterios, políticas, entre otros;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Trimestral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Cuando se decrete, reforme, adicione, derogue o abrogue cualquier norma aplicable al sujeto obligado. La información deberá publicarse y/o actualizarse en un plazo no mayor a 15 días hábiles a partir de su publicación en el Diario Oficial de la Federación (DOF), periódico o Gaceta oficial, o de su acuerdo de aprobación en el caso de normas publicadas por medios distintos como el sitio de Internet.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Información vigente </w:t>
            </w:r>
          </w:p>
        </w:tc>
      </w:tr>
      <w:tr w:rsidR="00FA54FC" w:rsidRPr="00FA54FC" w:rsidTr="00FA54F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Artículo 70 …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Fracción II </w:t>
            </w:r>
            <w:r w:rsidRPr="00FA54F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Trimestral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En su caso, 15 días hábiles después de la aprobación de alguna modificación a la estructura orgánica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Información vigente </w:t>
            </w:r>
          </w:p>
        </w:tc>
      </w:tr>
      <w:tr w:rsidR="00FA54FC" w:rsidRPr="00FA54FC" w:rsidTr="00FA54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Artículo 70 …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Fracción III </w:t>
            </w:r>
            <w:r w:rsidRPr="00FA54F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Las facultades de cada Área;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Trimestral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En su caso, 15 días hábiles después de alguna modificación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Información vigente </w:t>
            </w:r>
          </w:p>
        </w:tc>
      </w:tr>
      <w:tr w:rsidR="00FA54FC" w:rsidRPr="00FA54FC" w:rsidTr="00FA54F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Artículo 70 …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Fracción IV </w:t>
            </w:r>
            <w:r w:rsidRPr="00FA54F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Las metas y objetivos de las Áreas de conformidad con sus programas operativos;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Anual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o---o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Información del ejercicio en curso la correspondiente a los últimos seis ejercicios anteriores. </w:t>
            </w:r>
          </w:p>
        </w:tc>
      </w:tr>
      <w:tr w:rsidR="00FA54FC" w:rsidRPr="00FA54FC" w:rsidTr="00FA54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Artículo 70…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Fracción V </w:t>
            </w:r>
            <w:r w:rsidRPr="00FA54F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Los indicadores relacionados con temas de interés público o trascendencia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Anual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o---o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C" w:rsidRPr="00FA54FC" w:rsidRDefault="00FA54FC" w:rsidP="00FA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A54FC">
              <w:rPr>
                <w:rFonts w:ascii="Arial" w:hAnsi="Arial" w:cs="Arial"/>
                <w:color w:val="000000"/>
                <w:sz w:val="14"/>
                <w:szCs w:val="14"/>
              </w:rPr>
              <w:t xml:space="preserve">Información del ejercicio en curso y la correspondiente a los </w:t>
            </w:r>
          </w:p>
        </w:tc>
      </w:tr>
      <w:tr w:rsidR="00FA54FC" w:rsidTr="00FA54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/>
        </w:trPr>
        <w:tc>
          <w:tcPr>
            <w:tcW w:w="8585" w:type="dxa"/>
            <w:gridSpan w:val="5"/>
          </w:tcPr>
          <w:p w:rsidR="00FA54FC" w:rsidRDefault="00FA54FC" w:rsidP="00FA54FC"/>
        </w:tc>
      </w:tr>
    </w:tbl>
    <w:p w:rsidR="00F425D3" w:rsidRDefault="00F425D3">
      <w:bookmarkStart w:id="0" w:name="_GoBack"/>
      <w:bookmarkEnd w:id="0"/>
    </w:p>
    <w:sectPr w:rsidR="00F42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FC"/>
    <w:rsid w:val="00F425D3"/>
    <w:rsid w:val="00F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69B21-D072-4462-993D-D214E735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</dc:creator>
  <cp:keywords/>
  <dc:description/>
  <cp:lastModifiedBy>ISAEL</cp:lastModifiedBy>
  <cp:revision>1</cp:revision>
  <dcterms:created xsi:type="dcterms:W3CDTF">2017-06-29T21:12:00Z</dcterms:created>
  <dcterms:modified xsi:type="dcterms:W3CDTF">2017-06-29T21:17:00Z</dcterms:modified>
</cp:coreProperties>
</file>